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289" w:tblpY="-37"/>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065"/>
        <w:gridCol w:w="3303"/>
      </w:tblGrid>
      <w:tr w:rsidR="0017072E" w14:paraId="3C57E9A3" w14:textId="77777777" w:rsidTr="0084785E">
        <w:tc>
          <w:tcPr>
            <w:tcW w:w="10196" w:type="dxa"/>
            <w:gridSpan w:val="3"/>
          </w:tcPr>
          <w:p w14:paraId="2267F7EE" w14:textId="77777777" w:rsidR="0017072E" w:rsidRPr="0025508E" w:rsidRDefault="0017072E" w:rsidP="0084785E">
            <w:pPr>
              <w:tabs>
                <w:tab w:val="left" w:pos="5610"/>
              </w:tabs>
              <w:spacing w:line="240" w:lineRule="auto"/>
              <w:ind w:left="273"/>
              <w:jc w:val="center"/>
              <w:rPr>
                <w:rFonts w:ascii="Century Gothic" w:hAnsi="Century Gothic"/>
                <w:b/>
                <w:bCs/>
                <w:sz w:val="36"/>
                <w:szCs w:val="36"/>
              </w:rPr>
            </w:pPr>
            <w:r>
              <w:rPr>
                <w:rFonts w:ascii="Century Gothic" w:hAnsi="Century Gothic"/>
                <w:b/>
                <w:bCs/>
                <w:sz w:val="36"/>
                <w:szCs w:val="36"/>
              </w:rPr>
              <w:t>AVIS</w:t>
            </w:r>
          </w:p>
          <w:p w14:paraId="50281B50" w14:textId="77777777" w:rsidR="00E44673" w:rsidRPr="00D42D4B" w:rsidRDefault="00E44673" w:rsidP="0084785E">
            <w:pPr>
              <w:tabs>
                <w:tab w:val="left" w:pos="5610"/>
              </w:tabs>
              <w:spacing w:line="240" w:lineRule="auto"/>
              <w:ind w:left="273"/>
              <w:jc w:val="center"/>
              <w:rPr>
                <w:rFonts w:ascii="Century Gothic" w:hAnsi="Century Gothic"/>
                <w:b/>
                <w:bCs/>
                <w:sz w:val="2"/>
                <w:szCs w:val="28"/>
              </w:rPr>
            </w:pPr>
          </w:p>
          <w:p w14:paraId="099F38EF" w14:textId="7F0DDA49" w:rsidR="0017072E" w:rsidRPr="0025508E" w:rsidRDefault="00BF6EF1" w:rsidP="0084785E">
            <w:pPr>
              <w:tabs>
                <w:tab w:val="left" w:pos="5610"/>
              </w:tabs>
              <w:spacing w:line="240" w:lineRule="auto"/>
              <w:ind w:left="273"/>
              <w:jc w:val="center"/>
              <w:rPr>
                <w:rFonts w:ascii="Century Gothic" w:hAnsi="Century Gothic"/>
                <w:sz w:val="36"/>
                <w:szCs w:val="36"/>
              </w:rPr>
            </w:pPr>
            <w:r>
              <w:rPr>
                <w:rFonts w:ascii="Century Gothic" w:hAnsi="Century Gothic"/>
                <w:b/>
                <w:bCs/>
                <w:sz w:val="28"/>
                <w:szCs w:val="28"/>
              </w:rPr>
              <w:t>Procédures d’Appel d’O</w:t>
            </w:r>
            <w:r w:rsidR="0017072E" w:rsidRPr="009B7801">
              <w:rPr>
                <w:rFonts w:ascii="Century Gothic" w:hAnsi="Century Gothic"/>
                <w:b/>
                <w:bCs/>
                <w:sz w:val="28"/>
                <w:szCs w:val="28"/>
              </w:rPr>
              <w:t>ffres National Ouvert après P</w:t>
            </w:r>
            <w:r w:rsidR="0017072E">
              <w:rPr>
                <w:rFonts w:ascii="Century Gothic" w:hAnsi="Century Gothic"/>
                <w:b/>
                <w:bCs/>
                <w:sz w:val="28"/>
                <w:szCs w:val="28"/>
              </w:rPr>
              <w:t>ré-qualification</w:t>
            </w:r>
          </w:p>
        </w:tc>
      </w:tr>
      <w:tr w:rsidR="0017072E" w14:paraId="57D4B742" w14:textId="77777777" w:rsidTr="0084785E">
        <w:trPr>
          <w:trHeight w:val="1896"/>
        </w:trPr>
        <w:tc>
          <w:tcPr>
            <w:tcW w:w="3828" w:type="dxa"/>
          </w:tcPr>
          <w:p w14:paraId="13AAF0A1" w14:textId="77777777" w:rsidR="0017072E" w:rsidRPr="0025508E" w:rsidRDefault="0017072E" w:rsidP="0084785E">
            <w:pPr>
              <w:tabs>
                <w:tab w:val="left" w:pos="5610"/>
              </w:tabs>
              <w:spacing w:line="240" w:lineRule="auto"/>
              <w:ind w:left="273"/>
              <w:jc w:val="center"/>
              <w:rPr>
                <w:rFonts w:ascii="Century Gothic" w:hAnsi="Century Gothic"/>
                <w:b/>
                <w:bCs/>
                <w:sz w:val="28"/>
                <w:szCs w:val="28"/>
              </w:rPr>
            </w:pPr>
            <w:r w:rsidRPr="0025508E">
              <w:rPr>
                <w:rFonts w:ascii="Century Gothic" w:hAnsi="Century Gothic"/>
                <w:b/>
                <w:bCs/>
                <w:sz w:val="28"/>
                <w:szCs w:val="28"/>
              </w:rPr>
              <w:t>REPUBLIQUE DE GUINEE</w:t>
            </w:r>
          </w:p>
          <w:p w14:paraId="1FDDFEDF" w14:textId="506BFC77" w:rsidR="0017072E" w:rsidRDefault="0017072E" w:rsidP="0084785E">
            <w:pPr>
              <w:spacing w:after="0" w:line="240" w:lineRule="auto"/>
              <w:ind w:right="87" w:firstLine="0"/>
              <w:jc w:val="center"/>
              <w:rPr>
                <w:rFonts w:ascii="Century Gothic" w:hAnsi="Century Gothic"/>
                <w:b/>
              </w:rPr>
            </w:pPr>
            <w:r w:rsidRPr="00B5720B">
              <w:rPr>
                <w:rFonts w:ascii="Century Gothic" w:hAnsi="Century Gothic"/>
                <w:b/>
                <w:color w:val="FF0000"/>
              </w:rPr>
              <w:t>Travail</w:t>
            </w:r>
            <w:r w:rsidRPr="00B5720B">
              <w:rPr>
                <w:rFonts w:ascii="Century Gothic" w:hAnsi="Century Gothic"/>
                <w:b/>
              </w:rPr>
              <w:t>-</w:t>
            </w:r>
            <w:r>
              <w:rPr>
                <w:rFonts w:ascii="Century Gothic" w:hAnsi="Century Gothic"/>
                <w:b/>
              </w:rPr>
              <w:t xml:space="preserve"> </w:t>
            </w:r>
            <w:r w:rsidRPr="00B5720B">
              <w:rPr>
                <w:rFonts w:ascii="Century Gothic" w:hAnsi="Century Gothic"/>
                <w:b/>
                <w:color w:val="FFFF00"/>
              </w:rPr>
              <w:t>Justice</w:t>
            </w:r>
            <w:r w:rsidRPr="00B5720B">
              <w:rPr>
                <w:rFonts w:ascii="Century Gothic" w:hAnsi="Century Gothic"/>
                <w:b/>
              </w:rPr>
              <w:t>-</w:t>
            </w:r>
            <w:r>
              <w:rPr>
                <w:rFonts w:ascii="Century Gothic" w:hAnsi="Century Gothic"/>
                <w:b/>
              </w:rPr>
              <w:t xml:space="preserve"> </w:t>
            </w:r>
            <w:r w:rsidRPr="00B5720B">
              <w:rPr>
                <w:rFonts w:ascii="Century Gothic" w:hAnsi="Century Gothic"/>
                <w:b/>
                <w:color w:val="70AD47" w:themeColor="accent6"/>
              </w:rPr>
              <w:t>Solidarité</w:t>
            </w:r>
          </w:p>
        </w:tc>
        <w:tc>
          <w:tcPr>
            <w:tcW w:w="3065" w:type="dxa"/>
          </w:tcPr>
          <w:p w14:paraId="22877533" w14:textId="77777777" w:rsidR="0017072E" w:rsidRDefault="0017072E" w:rsidP="0084785E">
            <w:pPr>
              <w:spacing w:after="0" w:line="240" w:lineRule="auto"/>
              <w:ind w:right="87" w:firstLine="0"/>
              <w:jc w:val="center"/>
              <w:rPr>
                <w:rFonts w:ascii="Century Gothic" w:hAnsi="Century Gothic"/>
                <w:b/>
              </w:rPr>
            </w:pPr>
            <w:r w:rsidRPr="002663C1">
              <w:rPr>
                <w:rFonts w:ascii="Century Gothic" w:hAnsi="Century Gothic"/>
                <w:noProof/>
              </w:rPr>
              <w:drawing>
                <wp:anchor distT="0" distB="0" distL="114300" distR="114300" simplePos="0" relativeHeight="251659264" behindDoc="0" locked="0" layoutInCell="1" allowOverlap="0" wp14:anchorId="2E7ABBBB" wp14:editId="3580B17A">
                  <wp:simplePos x="0" y="0"/>
                  <wp:positionH relativeFrom="column">
                    <wp:posOffset>227330</wp:posOffset>
                  </wp:positionH>
                  <wp:positionV relativeFrom="paragraph">
                    <wp:posOffset>0</wp:posOffset>
                  </wp:positionV>
                  <wp:extent cx="1276350" cy="1323975"/>
                  <wp:effectExtent l="0" t="0" r="0" b="9525"/>
                  <wp:wrapSquare wrapText="bothSides"/>
                  <wp:docPr id="11"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cstate="print"/>
                          <a:srcRect/>
                          <a:stretch>
                            <a:fillRect/>
                          </a:stretch>
                        </pic:blipFill>
                        <pic:spPr bwMode="auto">
                          <a:xfrm>
                            <a:off x="0" y="0"/>
                            <a:ext cx="1276350" cy="13239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303" w:type="dxa"/>
          </w:tcPr>
          <w:p w14:paraId="41A7E43E" w14:textId="77777777" w:rsidR="0017072E" w:rsidRPr="0025508E" w:rsidRDefault="0017072E" w:rsidP="0084785E">
            <w:pPr>
              <w:tabs>
                <w:tab w:val="left" w:pos="5610"/>
              </w:tabs>
              <w:spacing w:line="240" w:lineRule="auto"/>
              <w:ind w:left="273"/>
              <w:jc w:val="center"/>
              <w:rPr>
                <w:rFonts w:ascii="Century Gothic" w:hAnsi="Century Gothic"/>
                <w:b/>
                <w:bCs/>
                <w:sz w:val="28"/>
                <w:szCs w:val="28"/>
              </w:rPr>
            </w:pPr>
            <w:r w:rsidRPr="0025508E">
              <w:rPr>
                <w:rFonts w:ascii="Century Gothic" w:hAnsi="Century Gothic"/>
                <w:b/>
                <w:bCs/>
                <w:sz w:val="28"/>
                <w:szCs w:val="28"/>
              </w:rPr>
              <w:t>Ministère de l’Agriculture et de l’Elevage</w:t>
            </w:r>
          </w:p>
          <w:p w14:paraId="60EBF9A2" w14:textId="77777777" w:rsidR="0017072E" w:rsidRDefault="0017072E" w:rsidP="0084785E">
            <w:pPr>
              <w:spacing w:after="0" w:line="240" w:lineRule="auto"/>
              <w:ind w:right="87" w:firstLine="0"/>
              <w:jc w:val="center"/>
              <w:rPr>
                <w:rFonts w:ascii="Century Gothic" w:hAnsi="Century Gothic"/>
                <w:b/>
              </w:rPr>
            </w:pPr>
          </w:p>
        </w:tc>
      </w:tr>
      <w:tr w:rsidR="0017072E" w14:paraId="5D8A10DD" w14:textId="77777777" w:rsidTr="0084785E">
        <w:trPr>
          <w:trHeight w:val="688"/>
        </w:trPr>
        <w:tc>
          <w:tcPr>
            <w:tcW w:w="10196" w:type="dxa"/>
            <w:gridSpan w:val="3"/>
          </w:tcPr>
          <w:p w14:paraId="16873F0A" w14:textId="77777777" w:rsidR="0017072E" w:rsidRPr="00617857" w:rsidRDefault="0017072E" w:rsidP="00BF6EF1">
            <w:pPr>
              <w:pStyle w:val="Sections"/>
              <w:rPr>
                <w:rFonts w:ascii="Century Gothic" w:hAnsi="Century Gothic"/>
                <w:color w:val="000000"/>
                <w:sz w:val="22"/>
                <w:szCs w:val="22"/>
              </w:rPr>
            </w:pPr>
            <w:r>
              <w:rPr>
                <w:rFonts w:ascii="Century Gothic" w:hAnsi="Century Gothic"/>
                <w:color w:val="000000"/>
                <w:sz w:val="22"/>
                <w:szCs w:val="22"/>
              </w:rPr>
              <w:t>Avis d’Appel d’Offres N</w:t>
            </w:r>
            <w:r w:rsidRPr="002663C1">
              <w:rPr>
                <w:rFonts w:ascii="Century Gothic" w:hAnsi="Century Gothic"/>
                <w:color w:val="000000"/>
                <w:sz w:val="22"/>
                <w:szCs w:val="22"/>
              </w:rPr>
              <w:t>ational (AAON)</w:t>
            </w:r>
          </w:p>
        </w:tc>
      </w:tr>
      <w:tr w:rsidR="0017072E" w14:paraId="2D5B9BF4" w14:textId="77777777" w:rsidTr="0084785E">
        <w:tc>
          <w:tcPr>
            <w:tcW w:w="10196" w:type="dxa"/>
            <w:gridSpan w:val="3"/>
          </w:tcPr>
          <w:p w14:paraId="14B5CAE6" w14:textId="77777777" w:rsidR="0017072E" w:rsidRDefault="0017072E" w:rsidP="00BF6EF1">
            <w:pPr>
              <w:spacing w:after="0" w:line="240" w:lineRule="auto"/>
              <w:ind w:right="87" w:firstLine="0"/>
              <w:jc w:val="center"/>
              <w:rPr>
                <w:rFonts w:ascii="Century Gothic" w:hAnsi="Century Gothic"/>
                <w:b/>
              </w:rPr>
            </w:pPr>
            <w:r w:rsidRPr="0096017C">
              <w:rPr>
                <w:rFonts w:ascii="Century Gothic" w:hAnsi="Century Gothic"/>
                <w:b/>
              </w:rPr>
              <w:t>DAO</w:t>
            </w:r>
            <w:r>
              <w:rPr>
                <w:rFonts w:ascii="Century Gothic" w:hAnsi="Century Gothic"/>
                <w:b/>
              </w:rPr>
              <w:t xml:space="preserve"> </w:t>
            </w:r>
            <w:r w:rsidRPr="0096017C">
              <w:rPr>
                <w:rFonts w:ascii="Century Gothic" w:hAnsi="Century Gothic"/>
                <w:b/>
              </w:rPr>
              <w:t>N° 002/MA</w:t>
            </w:r>
            <w:r>
              <w:rPr>
                <w:rFonts w:ascii="Century Gothic" w:hAnsi="Century Gothic"/>
                <w:b/>
              </w:rPr>
              <w:t>G</w:t>
            </w:r>
            <w:r w:rsidRPr="0096017C">
              <w:rPr>
                <w:rFonts w:ascii="Century Gothic" w:hAnsi="Century Gothic"/>
                <w:b/>
              </w:rPr>
              <w:t>E</w:t>
            </w:r>
            <w:r>
              <w:rPr>
                <w:rFonts w:ascii="Century Gothic" w:hAnsi="Century Gothic"/>
                <w:b/>
              </w:rPr>
              <w:t>L</w:t>
            </w:r>
            <w:r w:rsidRPr="0096017C">
              <w:rPr>
                <w:rFonts w:ascii="Century Gothic" w:hAnsi="Century Gothic"/>
                <w:b/>
              </w:rPr>
              <w:t>/</w:t>
            </w:r>
            <w:r>
              <w:rPr>
                <w:rFonts w:ascii="Century Gothic" w:hAnsi="Century Gothic"/>
                <w:b/>
              </w:rPr>
              <w:t>DNGR</w:t>
            </w:r>
            <w:r w:rsidRPr="0096017C">
              <w:rPr>
                <w:rFonts w:ascii="Century Gothic" w:hAnsi="Century Gothic"/>
                <w:b/>
              </w:rPr>
              <w:t>/PRMP/2023</w:t>
            </w:r>
          </w:p>
          <w:p w14:paraId="1D35A084" w14:textId="77777777" w:rsidR="0017072E" w:rsidRDefault="0017072E" w:rsidP="00BF6EF1">
            <w:pPr>
              <w:spacing w:after="0" w:line="240" w:lineRule="auto"/>
              <w:ind w:right="87" w:firstLine="0"/>
              <w:jc w:val="center"/>
              <w:rPr>
                <w:rFonts w:ascii="Century Gothic" w:hAnsi="Century Gothic"/>
                <w:b/>
              </w:rPr>
            </w:pPr>
          </w:p>
        </w:tc>
      </w:tr>
    </w:tbl>
    <w:p w14:paraId="17BE1208" w14:textId="77777777" w:rsidR="0017072E" w:rsidRPr="00C669CF" w:rsidRDefault="0017072E" w:rsidP="0017072E">
      <w:pPr>
        <w:numPr>
          <w:ilvl w:val="0"/>
          <w:numId w:val="1"/>
        </w:numPr>
        <w:spacing w:after="0" w:line="240" w:lineRule="auto"/>
        <w:ind w:right="15"/>
        <w:rPr>
          <w:rFonts w:ascii="Century Gothic" w:hAnsi="Century Gothic"/>
          <w:bCs/>
          <w:sz w:val="22"/>
        </w:rPr>
      </w:pPr>
      <w:r w:rsidRPr="00C669CF">
        <w:rPr>
          <w:rFonts w:ascii="Century Gothic" w:hAnsi="Century Gothic"/>
          <w:bCs/>
          <w:sz w:val="22"/>
        </w:rPr>
        <w:t>C</w:t>
      </w:r>
      <w:r w:rsidRPr="00EA49AC">
        <w:rPr>
          <w:rFonts w:ascii="Century Gothic" w:hAnsi="Century Gothic"/>
          <w:bCs/>
          <w:sz w:val="22"/>
        </w:rPr>
        <w:t xml:space="preserve">et Avis d’appel d’offres fait suite à l’Avis </w:t>
      </w:r>
      <w:r>
        <w:rPr>
          <w:rFonts w:ascii="Century Gothic" w:hAnsi="Century Gothic"/>
          <w:bCs/>
          <w:sz w:val="22"/>
        </w:rPr>
        <w:t>d’Appel d’Offre national ouvert avec pré-qualification N°001/MAE/DNGR/TX/2022</w:t>
      </w:r>
      <w:r w:rsidRPr="00EA49AC">
        <w:rPr>
          <w:rFonts w:ascii="Century Gothic" w:hAnsi="Century Gothic"/>
          <w:bCs/>
          <w:sz w:val="22"/>
        </w:rPr>
        <w:t xml:space="preserve"> paru</w:t>
      </w:r>
      <w:r>
        <w:rPr>
          <w:rFonts w:ascii="Century Gothic" w:hAnsi="Century Gothic"/>
          <w:bCs/>
          <w:sz w:val="22"/>
        </w:rPr>
        <w:t xml:space="preserve"> </w:t>
      </w:r>
      <w:r w:rsidRPr="003E7D35">
        <w:rPr>
          <w:rFonts w:ascii="Century Gothic" w:hAnsi="Century Gothic"/>
          <w:bCs/>
          <w:sz w:val="22"/>
        </w:rPr>
        <w:t>dans</w:t>
      </w:r>
      <w:r>
        <w:rPr>
          <w:rFonts w:ascii="Century Gothic" w:hAnsi="Century Gothic"/>
          <w:bCs/>
          <w:sz w:val="22"/>
        </w:rPr>
        <w:t xml:space="preserve"> les journaux le </w:t>
      </w:r>
      <w:r w:rsidRPr="00C669CF">
        <w:rPr>
          <w:rFonts w:ascii="Century Gothic" w:hAnsi="Century Gothic"/>
          <w:bCs/>
          <w:sz w:val="22"/>
        </w:rPr>
        <w:t>25 Décembre 2022.</w:t>
      </w:r>
    </w:p>
    <w:p w14:paraId="71C67879" w14:textId="126DEB86" w:rsidR="0017072E" w:rsidRPr="0013318C" w:rsidRDefault="0017072E" w:rsidP="0017072E">
      <w:pPr>
        <w:numPr>
          <w:ilvl w:val="0"/>
          <w:numId w:val="1"/>
        </w:numPr>
        <w:spacing w:line="240" w:lineRule="auto"/>
        <w:ind w:right="15"/>
        <w:rPr>
          <w:rFonts w:ascii="Century Gothic" w:hAnsi="Century Gothic"/>
          <w:b/>
          <w:sz w:val="22"/>
        </w:rPr>
      </w:pPr>
      <w:r w:rsidRPr="007154BB">
        <w:rPr>
          <w:rFonts w:ascii="Century Gothic" w:hAnsi="Century Gothic"/>
          <w:sz w:val="22"/>
        </w:rPr>
        <w:t xml:space="preserve">Le Ministère de l’Agriculture et de l’Élevage à travers la Direction Nationale du Génie Rural (DNGR) a obtenu </w:t>
      </w:r>
      <w:r>
        <w:rPr>
          <w:rFonts w:ascii="Century Gothic" w:hAnsi="Century Gothic"/>
          <w:sz w:val="22"/>
        </w:rPr>
        <w:t xml:space="preserve">un fonds </w:t>
      </w:r>
      <w:r w:rsidRPr="007154BB">
        <w:rPr>
          <w:rFonts w:ascii="Century Gothic" w:hAnsi="Century Gothic"/>
          <w:sz w:val="22"/>
        </w:rPr>
        <w:t>du Budget National de Développement (BND) dans le cadre de l’exécution de son programme (exercice 2023)</w:t>
      </w:r>
      <w:r>
        <w:rPr>
          <w:rFonts w:ascii="Century Gothic" w:hAnsi="Century Gothic"/>
          <w:sz w:val="22"/>
        </w:rPr>
        <w:t>.</w:t>
      </w:r>
      <w:r w:rsidRPr="007154BB">
        <w:rPr>
          <w:rFonts w:ascii="Century Gothic" w:hAnsi="Century Gothic"/>
          <w:sz w:val="22"/>
        </w:rPr>
        <w:t xml:space="preserve"> Une </w:t>
      </w:r>
      <w:r>
        <w:rPr>
          <w:rFonts w:ascii="Century Gothic" w:hAnsi="Century Gothic"/>
          <w:sz w:val="22"/>
        </w:rPr>
        <w:t xml:space="preserve">partie de ce fonds </w:t>
      </w:r>
      <w:r w:rsidRPr="007154BB">
        <w:rPr>
          <w:rFonts w:ascii="Century Gothic" w:hAnsi="Century Gothic"/>
          <w:sz w:val="22"/>
        </w:rPr>
        <w:t>e</w:t>
      </w:r>
      <w:r>
        <w:rPr>
          <w:rFonts w:ascii="Century Gothic" w:hAnsi="Century Gothic"/>
          <w:sz w:val="22"/>
        </w:rPr>
        <w:t>st</w:t>
      </w:r>
      <w:r w:rsidRPr="007154BB">
        <w:rPr>
          <w:rFonts w:ascii="Century Gothic" w:hAnsi="Century Gothic"/>
          <w:sz w:val="22"/>
        </w:rPr>
        <w:t xml:space="preserve"> destinée au financement des travaux de réhabilitation des plaines hydro-agricoles</w:t>
      </w:r>
      <w:r>
        <w:rPr>
          <w:rFonts w:ascii="Century Gothic" w:hAnsi="Century Gothic"/>
          <w:sz w:val="22"/>
        </w:rPr>
        <w:t>.</w:t>
      </w:r>
      <w:r w:rsidRPr="00583F18">
        <w:rPr>
          <w:rFonts w:ascii="Century Gothic" w:hAnsi="Century Gothic"/>
          <w:sz w:val="22"/>
        </w:rPr>
        <w:t xml:space="preserve"> </w:t>
      </w:r>
      <w:r w:rsidRPr="007154BB">
        <w:rPr>
          <w:rFonts w:ascii="Century Gothic" w:hAnsi="Century Gothic"/>
          <w:sz w:val="22"/>
        </w:rPr>
        <w:t xml:space="preserve">Le Ministère de l’Agriculture et de l’Élevage a l’intention d’utiliser une partie de ce budget pour effectuer </w:t>
      </w:r>
      <w:r>
        <w:rPr>
          <w:rFonts w:ascii="Century Gothic" w:hAnsi="Century Gothic"/>
          <w:sz w:val="22"/>
        </w:rPr>
        <w:t>l</w:t>
      </w:r>
      <w:r w:rsidRPr="007154BB">
        <w:rPr>
          <w:rFonts w:ascii="Century Gothic" w:hAnsi="Century Gothic"/>
          <w:sz w:val="22"/>
        </w:rPr>
        <w:t xml:space="preserve">es paiements au titre des </w:t>
      </w:r>
      <w:r w:rsidRPr="007154BB">
        <w:rPr>
          <w:rFonts w:ascii="Century Gothic" w:hAnsi="Century Gothic"/>
          <w:b/>
          <w:sz w:val="22"/>
        </w:rPr>
        <w:t xml:space="preserve">Marchés de Réhabilitation des Travaux d’Aménagement Hydro-Agricole de 390 </w:t>
      </w:r>
      <w:r>
        <w:rPr>
          <w:rFonts w:ascii="Century Gothic" w:hAnsi="Century Gothic"/>
          <w:b/>
          <w:sz w:val="22"/>
        </w:rPr>
        <w:t>h</w:t>
      </w:r>
      <w:r w:rsidRPr="007154BB">
        <w:rPr>
          <w:rFonts w:ascii="Century Gothic" w:hAnsi="Century Gothic"/>
          <w:b/>
          <w:sz w:val="22"/>
        </w:rPr>
        <w:t xml:space="preserve">a </w:t>
      </w:r>
      <w:r>
        <w:rPr>
          <w:rFonts w:ascii="Century Gothic" w:hAnsi="Century Gothic"/>
          <w:b/>
          <w:sz w:val="22"/>
        </w:rPr>
        <w:t>d</w:t>
      </w:r>
      <w:r w:rsidRPr="007154BB">
        <w:rPr>
          <w:rFonts w:ascii="Century Gothic" w:hAnsi="Century Gothic"/>
          <w:b/>
          <w:sz w:val="22"/>
        </w:rPr>
        <w:t xml:space="preserve">ans </w:t>
      </w:r>
      <w:r>
        <w:rPr>
          <w:rFonts w:ascii="Century Gothic" w:hAnsi="Century Gothic"/>
          <w:b/>
          <w:sz w:val="22"/>
        </w:rPr>
        <w:t>l</w:t>
      </w:r>
      <w:r w:rsidRPr="007154BB">
        <w:rPr>
          <w:rFonts w:ascii="Century Gothic" w:hAnsi="Century Gothic"/>
          <w:b/>
          <w:sz w:val="22"/>
        </w:rPr>
        <w:t xml:space="preserve">a </w:t>
      </w:r>
      <w:r>
        <w:rPr>
          <w:rFonts w:ascii="Century Gothic" w:hAnsi="Century Gothic"/>
          <w:b/>
          <w:sz w:val="22"/>
        </w:rPr>
        <w:t>p</w:t>
      </w:r>
      <w:r w:rsidRPr="007154BB">
        <w:rPr>
          <w:rFonts w:ascii="Century Gothic" w:hAnsi="Century Gothic"/>
          <w:b/>
          <w:sz w:val="22"/>
        </w:rPr>
        <w:t xml:space="preserve">laine </w:t>
      </w:r>
      <w:r>
        <w:rPr>
          <w:rFonts w:ascii="Century Gothic" w:hAnsi="Century Gothic"/>
          <w:b/>
          <w:sz w:val="22"/>
        </w:rPr>
        <w:t>d</w:t>
      </w:r>
      <w:r w:rsidRPr="007154BB">
        <w:rPr>
          <w:rFonts w:ascii="Century Gothic" w:hAnsi="Century Gothic"/>
          <w:b/>
          <w:sz w:val="22"/>
        </w:rPr>
        <w:t xml:space="preserve">e </w:t>
      </w:r>
      <w:proofErr w:type="spellStart"/>
      <w:r w:rsidRPr="007154BB">
        <w:rPr>
          <w:rFonts w:ascii="Century Gothic" w:hAnsi="Century Gothic"/>
          <w:b/>
          <w:sz w:val="22"/>
        </w:rPr>
        <w:t>Koba</w:t>
      </w:r>
      <w:proofErr w:type="spellEnd"/>
      <w:r w:rsidRPr="007154BB">
        <w:rPr>
          <w:rFonts w:ascii="Century Gothic" w:hAnsi="Century Gothic"/>
          <w:b/>
          <w:sz w:val="22"/>
        </w:rPr>
        <w:t xml:space="preserve"> (</w:t>
      </w:r>
      <w:proofErr w:type="spellStart"/>
      <w:r w:rsidRPr="007154BB">
        <w:rPr>
          <w:rFonts w:ascii="Century Gothic" w:hAnsi="Century Gothic"/>
          <w:b/>
          <w:sz w:val="22"/>
        </w:rPr>
        <w:t>Tatéma</w:t>
      </w:r>
      <w:proofErr w:type="spellEnd"/>
      <w:r w:rsidRPr="007154BB">
        <w:rPr>
          <w:rFonts w:ascii="Century Gothic" w:hAnsi="Century Gothic"/>
          <w:b/>
          <w:sz w:val="22"/>
        </w:rPr>
        <w:t xml:space="preserve">) </w:t>
      </w:r>
      <w:r>
        <w:rPr>
          <w:rFonts w:ascii="Century Gothic" w:hAnsi="Century Gothic"/>
          <w:b/>
          <w:sz w:val="22"/>
        </w:rPr>
        <w:t>d</w:t>
      </w:r>
      <w:r w:rsidRPr="0013318C">
        <w:rPr>
          <w:rFonts w:ascii="Century Gothic" w:hAnsi="Century Gothic"/>
          <w:b/>
          <w:sz w:val="22"/>
        </w:rPr>
        <w:t>ans la</w:t>
      </w:r>
      <w:r>
        <w:rPr>
          <w:rFonts w:ascii="Century Gothic" w:hAnsi="Century Gothic"/>
          <w:b/>
          <w:sz w:val="22"/>
        </w:rPr>
        <w:t xml:space="preserve"> sous-préfecture de </w:t>
      </w:r>
      <w:proofErr w:type="spellStart"/>
      <w:r>
        <w:rPr>
          <w:rFonts w:ascii="Century Gothic" w:hAnsi="Century Gothic"/>
          <w:b/>
          <w:sz w:val="22"/>
        </w:rPr>
        <w:t>Koba</w:t>
      </w:r>
      <w:proofErr w:type="spellEnd"/>
      <w:r>
        <w:rPr>
          <w:rFonts w:ascii="Century Gothic" w:hAnsi="Century Gothic"/>
          <w:b/>
          <w:sz w:val="22"/>
        </w:rPr>
        <w:t>,</w:t>
      </w:r>
      <w:r w:rsidRPr="0013318C">
        <w:rPr>
          <w:rFonts w:ascii="Century Gothic" w:hAnsi="Century Gothic"/>
          <w:b/>
          <w:sz w:val="22"/>
        </w:rPr>
        <w:t xml:space="preserve"> Préfecture de Boffa.</w:t>
      </w:r>
      <w:r w:rsidR="006965CA" w:rsidRPr="006965CA">
        <w:rPr>
          <w:rFonts w:ascii="Century Gothic" w:hAnsi="Century Gothic"/>
          <w:b/>
          <w:noProof/>
        </w:rPr>
        <w:t xml:space="preserve"> </w:t>
      </w:r>
      <w:r w:rsidR="006965CA">
        <w:rPr>
          <w:rFonts w:ascii="Century Gothic" w:hAnsi="Century Gothic"/>
          <w:b/>
          <w:noProof/>
        </w:rPr>
        <w:drawing>
          <wp:anchor distT="0" distB="0" distL="114300" distR="114300" simplePos="0" relativeHeight="251661312" behindDoc="1" locked="0" layoutInCell="0" allowOverlap="1" wp14:anchorId="0CAA49A1" wp14:editId="7BD76C98">
            <wp:simplePos x="0" y="0"/>
            <wp:positionH relativeFrom="margin">
              <wp:posOffset>0</wp:posOffset>
            </wp:positionH>
            <wp:positionV relativeFrom="margin">
              <wp:posOffset>4555490</wp:posOffset>
            </wp:positionV>
            <wp:extent cx="5716270" cy="313944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8139802"/>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716270" cy="3139440"/>
                    </a:xfrm>
                    <a:prstGeom prst="rect">
                      <a:avLst/>
                    </a:prstGeom>
                    <a:noFill/>
                  </pic:spPr>
                </pic:pic>
              </a:graphicData>
            </a:graphic>
            <wp14:sizeRelH relativeFrom="page">
              <wp14:pctWidth>0</wp14:pctWidth>
            </wp14:sizeRelH>
            <wp14:sizeRelV relativeFrom="page">
              <wp14:pctHeight>0</wp14:pctHeight>
            </wp14:sizeRelV>
          </wp:anchor>
        </w:drawing>
      </w:r>
    </w:p>
    <w:p w14:paraId="6608A34E" w14:textId="77777777" w:rsidR="0017072E" w:rsidRPr="0013318C" w:rsidRDefault="0017072E" w:rsidP="0017072E">
      <w:pPr>
        <w:pStyle w:val="Paragraphedeliste"/>
        <w:numPr>
          <w:ilvl w:val="0"/>
          <w:numId w:val="1"/>
        </w:numPr>
        <w:rPr>
          <w:rFonts w:ascii="Century Gothic" w:hAnsi="Century Gothic"/>
          <w:sz w:val="22"/>
        </w:rPr>
      </w:pPr>
      <w:r w:rsidRPr="0013318C">
        <w:rPr>
          <w:rFonts w:ascii="Century Gothic" w:hAnsi="Century Gothic"/>
          <w:sz w:val="22"/>
        </w:rPr>
        <w:t>Les travaux s</w:t>
      </w:r>
      <w:r>
        <w:rPr>
          <w:rFonts w:ascii="Century Gothic" w:hAnsi="Century Gothic"/>
          <w:sz w:val="22"/>
        </w:rPr>
        <w:t>eron</w:t>
      </w:r>
      <w:r w:rsidRPr="0013318C">
        <w:rPr>
          <w:rFonts w:ascii="Century Gothic" w:hAnsi="Century Gothic"/>
          <w:sz w:val="22"/>
        </w:rPr>
        <w:t>t exécutés</w:t>
      </w:r>
      <w:r w:rsidRPr="00627084">
        <w:rPr>
          <w:rFonts w:ascii="Century Gothic" w:hAnsi="Century Gothic"/>
          <w:sz w:val="22"/>
        </w:rPr>
        <w:t xml:space="preserve"> </w:t>
      </w:r>
      <w:r>
        <w:rPr>
          <w:rFonts w:ascii="Century Gothic" w:hAnsi="Century Gothic"/>
          <w:sz w:val="22"/>
        </w:rPr>
        <w:t>en lot unique</w:t>
      </w:r>
      <w:r w:rsidRPr="0013318C">
        <w:rPr>
          <w:rFonts w:ascii="Century Gothic" w:hAnsi="Century Gothic"/>
          <w:sz w:val="22"/>
        </w:rPr>
        <w:t xml:space="preserve"> dans un délai de trois (3) mois</w:t>
      </w:r>
      <w:r>
        <w:rPr>
          <w:rFonts w:ascii="Century Gothic" w:hAnsi="Century Gothic"/>
          <w:sz w:val="22"/>
        </w:rPr>
        <w:t>.</w:t>
      </w:r>
    </w:p>
    <w:p w14:paraId="746DD028" w14:textId="77777777" w:rsidR="0017072E" w:rsidRPr="002663C1" w:rsidRDefault="0017072E" w:rsidP="0017072E">
      <w:pPr>
        <w:numPr>
          <w:ilvl w:val="0"/>
          <w:numId w:val="1"/>
        </w:numPr>
        <w:spacing w:after="0" w:line="240" w:lineRule="auto"/>
        <w:ind w:right="15"/>
        <w:rPr>
          <w:rFonts w:ascii="Century Gothic" w:hAnsi="Century Gothic"/>
          <w:sz w:val="22"/>
        </w:rPr>
      </w:pPr>
      <w:r w:rsidRPr="002663C1">
        <w:rPr>
          <w:rFonts w:ascii="Century Gothic" w:hAnsi="Century Gothic"/>
          <w:sz w:val="22"/>
        </w:rPr>
        <w:t>La participation à cet appel d'offres ouvert tel que défini aux articles 23 et suivants du Code des marchés publics, concerne tous les candidats éligibles, remplissant les conditions définies dans le présent Dossier d'Appel d'Offres Ouvert et qui ne sont pas concernés par un des cas d’inéligibilité prévus à l’article 64 du Code des Marchés Publics.</w:t>
      </w:r>
    </w:p>
    <w:p w14:paraId="33D79328" w14:textId="25B103D4" w:rsidR="0017072E" w:rsidRPr="002663C1" w:rsidRDefault="0017072E" w:rsidP="0017072E">
      <w:pPr>
        <w:numPr>
          <w:ilvl w:val="0"/>
          <w:numId w:val="1"/>
        </w:numPr>
        <w:spacing w:after="146" w:line="240" w:lineRule="auto"/>
        <w:ind w:right="15"/>
        <w:rPr>
          <w:rFonts w:ascii="Century Gothic" w:hAnsi="Century Gothic"/>
          <w:b/>
          <w:sz w:val="22"/>
        </w:rPr>
      </w:pPr>
      <w:r w:rsidRPr="002663C1">
        <w:rPr>
          <w:rFonts w:ascii="Century Gothic" w:hAnsi="Century Gothic"/>
          <w:sz w:val="22"/>
        </w:rPr>
        <w:t xml:space="preserve">Les soumissionnaires intéressés peuvent obtenir des informations et prendre connaissance des documents d’Appel d’Offres auprès de la Direction Nationale du Génie Rural (DNGR) du Ministère de l’Agriculture et de l’Elevage aux adresses suivantes : Email : </w:t>
      </w:r>
      <w:bookmarkStart w:id="0" w:name="_Hlk130817739"/>
      <w:r>
        <w:fldChar w:fldCharType="begin"/>
      </w:r>
      <w:r>
        <w:instrText>HYPERLINK "mailto:mldiaby@magel.gov.gn"</w:instrText>
      </w:r>
      <w:r>
        <w:fldChar w:fldCharType="separate"/>
      </w:r>
      <w:r w:rsidRPr="003C28AB">
        <w:rPr>
          <w:rStyle w:val="Lienhypertexte"/>
          <w:rFonts w:ascii="Century Gothic" w:hAnsi="Century Gothic"/>
          <w:b/>
          <w:sz w:val="22"/>
        </w:rPr>
        <w:t>mldiaby@magel.gov.gn</w:t>
      </w:r>
      <w:r>
        <w:rPr>
          <w:rStyle w:val="Lienhypertexte"/>
          <w:rFonts w:ascii="Century Gothic" w:hAnsi="Century Gothic"/>
          <w:b/>
          <w:sz w:val="22"/>
        </w:rPr>
        <w:fldChar w:fldCharType="end"/>
      </w:r>
      <w:r w:rsidRPr="002663C1">
        <w:rPr>
          <w:rFonts w:ascii="Century Gothic" w:hAnsi="Century Gothic"/>
          <w:b/>
          <w:sz w:val="22"/>
        </w:rPr>
        <w:t xml:space="preserve"> </w:t>
      </w:r>
      <w:r>
        <w:rPr>
          <w:rFonts w:ascii="Century Gothic" w:hAnsi="Century Gothic"/>
          <w:b/>
          <w:sz w:val="22"/>
        </w:rPr>
        <w:t>Tél : 622 27 59 67</w:t>
      </w:r>
      <w:bookmarkEnd w:id="0"/>
      <w:r w:rsidRPr="002663C1">
        <w:rPr>
          <w:rFonts w:ascii="Century Gothic" w:hAnsi="Century Gothic"/>
          <w:b/>
          <w:sz w:val="22"/>
        </w:rPr>
        <w:t xml:space="preserve">, </w:t>
      </w:r>
      <w:hyperlink r:id="rId9" w:history="1">
        <w:r w:rsidRPr="00E44673">
          <w:rPr>
            <w:rStyle w:val="Lienhypertexte"/>
            <w:rFonts w:ascii="Century Gothic" w:hAnsi="Century Gothic"/>
            <w:b/>
            <w:sz w:val="22"/>
          </w:rPr>
          <w:t>kstraore@magel.gov.gn</w:t>
        </w:r>
      </w:hyperlink>
      <w:r w:rsidR="00E44673">
        <w:rPr>
          <w:rFonts w:ascii="Century Gothic" w:hAnsi="Century Gothic"/>
          <w:b/>
          <w:sz w:val="22"/>
        </w:rPr>
        <w:t xml:space="preserve"> </w:t>
      </w:r>
      <w:r w:rsidRPr="002663C1">
        <w:rPr>
          <w:rFonts w:ascii="Century Gothic" w:hAnsi="Century Gothic"/>
          <w:b/>
          <w:sz w:val="22"/>
        </w:rPr>
        <w:t xml:space="preserve"> Tel : 622</w:t>
      </w:r>
      <w:r>
        <w:rPr>
          <w:rFonts w:ascii="Century Gothic" w:hAnsi="Century Gothic"/>
          <w:b/>
          <w:sz w:val="22"/>
        </w:rPr>
        <w:t xml:space="preserve"> </w:t>
      </w:r>
      <w:r w:rsidRPr="002663C1">
        <w:rPr>
          <w:rFonts w:ascii="Century Gothic" w:hAnsi="Century Gothic"/>
          <w:b/>
          <w:sz w:val="22"/>
        </w:rPr>
        <w:t xml:space="preserve">67 27 21  DNGR, Commune de </w:t>
      </w:r>
      <w:proofErr w:type="spellStart"/>
      <w:r w:rsidRPr="002663C1">
        <w:rPr>
          <w:rFonts w:ascii="Century Gothic" w:hAnsi="Century Gothic"/>
          <w:b/>
          <w:sz w:val="22"/>
        </w:rPr>
        <w:t>Matoto</w:t>
      </w:r>
      <w:proofErr w:type="spellEnd"/>
      <w:r w:rsidRPr="002663C1">
        <w:rPr>
          <w:rFonts w:ascii="Century Gothic" w:hAnsi="Century Gothic"/>
          <w:b/>
          <w:sz w:val="22"/>
        </w:rPr>
        <w:t xml:space="preserve">, Quartier </w:t>
      </w:r>
      <w:proofErr w:type="spellStart"/>
      <w:r w:rsidRPr="002663C1">
        <w:rPr>
          <w:rFonts w:ascii="Century Gothic" w:hAnsi="Century Gothic"/>
          <w:b/>
          <w:sz w:val="22"/>
        </w:rPr>
        <w:t>Matoto</w:t>
      </w:r>
      <w:proofErr w:type="spellEnd"/>
      <w:r w:rsidRPr="002663C1">
        <w:rPr>
          <w:rFonts w:ascii="Century Gothic" w:hAnsi="Century Gothic"/>
          <w:b/>
          <w:sz w:val="22"/>
        </w:rPr>
        <w:t xml:space="preserve"> Marché à partir des heures suivantes : du lundi au vendredi de 08 heures à 16 heures 30 mn.</w:t>
      </w:r>
    </w:p>
    <w:p w14:paraId="70352C7C" w14:textId="25A62C36" w:rsidR="0017072E" w:rsidRPr="002663C1" w:rsidRDefault="0017072E" w:rsidP="0017072E">
      <w:pPr>
        <w:numPr>
          <w:ilvl w:val="0"/>
          <w:numId w:val="1"/>
        </w:numPr>
        <w:spacing w:line="240" w:lineRule="auto"/>
        <w:ind w:right="15"/>
        <w:rPr>
          <w:rFonts w:ascii="Century Gothic" w:hAnsi="Century Gothic"/>
          <w:sz w:val="22"/>
        </w:rPr>
      </w:pPr>
      <w:r w:rsidRPr="002663C1">
        <w:rPr>
          <w:rFonts w:ascii="Century Gothic" w:hAnsi="Century Gothic"/>
          <w:sz w:val="22"/>
        </w:rPr>
        <w:t xml:space="preserve">Ne sont pas admises à concourir à cet appel d’offres les personnes physiques ou morales reconnues </w:t>
      </w:r>
      <w:r>
        <w:rPr>
          <w:rFonts w:ascii="Century Gothic" w:hAnsi="Century Gothic"/>
          <w:sz w:val="22"/>
        </w:rPr>
        <w:t>non retenue</w:t>
      </w:r>
      <w:r w:rsidR="00892F43">
        <w:rPr>
          <w:rFonts w:ascii="Century Gothic" w:hAnsi="Century Gothic"/>
          <w:sz w:val="22"/>
        </w:rPr>
        <w:t>s</w:t>
      </w:r>
      <w:r>
        <w:rPr>
          <w:rFonts w:ascii="Century Gothic" w:hAnsi="Century Gothic"/>
          <w:sz w:val="22"/>
        </w:rPr>
        <w:t xml:space="preserve"> des entreprises pré-qualifiées dans de l’avis de pré-qualification annoncé au point 1</w:t>
      </w:r>
      <w:r w:rsidRPr="002663C1">
        <w:rPr>
          <w:rFonts w:ascii="Century Gothic" w:hAnsi="Century Gothic"/>
          <w:sz w:val="22"/>
        </w:rPr>
        <w:t>.</w:t>
      </w:r>
    </w:p>
    <w:p w14:paraId="42F891C6" w14:textId="77777777" w:rsidR="0017072E" w:rsidRPr="002663C1" w:rsidRDefault="0017072E" w:rsidP="0017072E">
      <w:pPr>
        <w:spacing w:after="131" w:line="240" w:lineRule="auto"/>
        <w:ind w:left="10" w:hanging="10"/>
        <w:rPr>
          <w:rFonts w:ascii="Century Gothic" w:hAnsi="Century Gothic"/>
          <w:sz w:val="22"/>
        </w:rPr>
      </w:pPr>
      <w:r w:rsidRPr="002663C1">
        <w:rPr>
          <w:rFonts w:ascii="Century Gothic" w:hAnsi="Century Gothic"/>
          <w:sz w:val="22"/>
        </w:rPr>
        <w:t xml:space="preserve">Cependant, ne sont autorisées à soumissionner dans le présent appel d’offres, que les entreprises </w:t>
      </w:r>
      <w:r>
        <w:rPr>
          <w:rFonts w:ascii="Century Gothic" w:hAnsi="Century Gothic"/>
          <w:sz w:val="22"/>
        </w:rPr>
        <w:t xml:space="preserve">pré-qualifiées </w:t>
      </w:r>
      <w:r w:rsidRPr="002663C1">
        <w:rPr>
          <w:rFonts w:ascii="Century Gothic" w:hAnsi="Century Gothic"/>
          <w:sz w:val="22"/>
        </w:rPr>
        <w:t xml:space="preserve">titulaires des marchés qui sont en phase de réception provisoire. </w:t>
      </w:r>
    </w:p>
    <w:p w14:paraId="54FD352A" w14:textId="77777777" w:rsidR="0017072E" w:rsidRPr="002663C1" w:rsidRDefault="0017072E" w:rsidP="0017072E">
      <w:pPr>
        <w:numPr>
          <w:ilvl w:val="0"/>
          <w:numId w:val="1"/>
        </w:numPr>
        <w:spacing w:line="240" w:lineRule="auto"/>
        <w:ind w:right="15"/>
        <w:rPr>
          <w:rFonts w:ascii="Century Gothic" w:hAnsi="Century Gothic"/>
          <w:sz w:val="22"/>
        </w:rPr>
      </w:pPr>
      <w:r w:rsidRPr="002663C1">
        <w:rPr>
          <w:rFonts w:ascii="Century Gothic" w:hAnsi="Century Gothic"/>
          <w:sz w:val="22"/>
        </w:rPr>
        <w:t xml:space="preserve">Une </w:t>
      </w:r>
      <w:r w:rsidRPr="002663C1">
        <w:rPr>
          <w:rFonts w:ascii="Century Gothic" w:hAnsi="Century Gothic"/>
          <w:b/>
          <w:sz w:val="22"/>
        </w:rPr>
        <w:t>redevance de 0,6% du montant hors taxe</w:t>
      </w:r>
      <w:r w:rsidRPr="002663C1">
        <w:rPr>
          <w:rFonts w:ascii="Century Gothic" w:hAnsi="Century Gothic"/>
          <w:sz w:val="22"/>
        </w:rPr>
        <w:t xml:space="preserve"> du marché sera prise en charge par l'attributaire au bénéfice de l'Autorité de Régulation des Marchés Publics conformément aux dispositions de l'article 17 du Code des Marchés Publics, D/2020/154/PRG/SGG du 10 juillet 2020 et de l'article 2 de l'arrêté conjoint AC/2020/2304/MEF/MB/SGG du 07 Août 2020.</w:t>
      </w:r>
    </w:p>
    <w:p w14:paraId="10ED7D1A" w14:textId="77777777" w:rsidR="0017072E" w:rsidRDefault="0017072E" w:rsidP="0017072E">
      <w:pPr>
        <w:numPr>
          <w:ilvl w:val="0"/>
          <w:numId w:val="1"/>
        </w:numPr>
        <w:spacing w:after="0" w:line="240" w:lineRule="auto"/>
        <w:ind w:left="2" w:right="15" w:firstLine="0"/>
        <w:rPr>
          <w:rFonts w:ascii="Century Gothic" w:hAnsi="Century Gothic"/>
          <w:sz w:val="22"/>
        </w:rPr>
      </w:pPr>
      <w:r w:rsidRPr="002663C1">
        <w:rPr>
          <w:rFonts w:ascii="Century Gothic" w:hAnsi="Century Gothic"/>
          <w:sz w:val="22"/>
        </w:rPr>
        <w:t xml:space="preserve">Les exigences en matière de qualifications sont : l’expérience Technique preuve à </w:t>
      </w:r>
      <w:r>
        <w:rPr>
          <w:rFonts w:ascii="Century Gothic" w:hAnsi="Century Gothic"/>
          <w:sz w:val="22"/>
        </w:rPr>
        <w:t xml:space="preserve">      </w:t>
      </w:r>
    </w:p>
    <w:p w14:paraId="01E5170E" w14:textId="77777777" w:rsidR="0017072E" w:rsidRDefault="0017072E" w:rsidP="0017072E">
      <w:pPr>
        <w:spacing w:after="0" w:line="240" w:lineRule="auto"/>
        <w:ind w:left="2" w:right="15" w:firstLine="0"/>
        <w:rPr>
          <w:rFonts w:ascii="Century Gothic" w:hAnsi="Century Gothic"/>
          <w:sz w:val="22"/>
        </w:rPr>
      </w:pPr>
      <w:r>
        <w:rPr>
          <w:rFonts w:ascii="Century Gothic" w:hAnsi="Century Gothic"/>
          <w:sz w:val="22"/>
        </w:rPr>
        <w:t xml:space="preserve"> </w:t>
      </w:r>
      <w:proofErr w:type="gramStart"/>
      <w:r w:rsidRPr="002663C1">
        <w:rPr>
          <w:rFonts w:ascii="Century Gothic" w:hAnsi="Century Gothic"/>
          <w:sz w:val="22"/>
        </w:rPr>
        <w:t>l’appui</w:t>
      </w:r>
      <w:proofErr w:type="gramEnd"/>
      <w:r w:rsidRPr="002663C1">
        <w:rPr>
          <w:rFonts w:ascii="Century Gothic" w:hAnsi="Century Gothic"/>
          <w:sz w:val="22"/>
        </w:rPr>
        <w:t xml:space="preserve">, la situation financière, la capacité de financement, le matériel à mobiliser et le </w:t>
      </w:r>
      <w:r>
        <w:rPr>
          <w:rFonts w:ascii="Century Gothic" w:hAnsi="Century Gothic"/>
          <w:sz w:val="22"/>
        </w:rPr>
        <w:t xml:space="preserve">  </w:t>
      </w:r>
    </w:p>
    <w:p w14:paraId="4CB227F0" w14:textId="7A54BCEA" w:rsidR="0017072E" w:rsidRDefault="0017072E" w:rsidP="0017072E">
      <w:pPr>
        <w:spacing w:after="0" w:line="240" w:lineRule="auto"/>
        <w:ind w:right="15" w:firstLine="0"/>
        <w:rPr>
          <w:rFonts w:ascii="Century Gothic" w:hAnsi="Century Gothic"/>
          <w:sz w:val="22"/>
        </w:rPr>
      </w:pPr>
      <w:r>
        <w:rPr>
          <w:rFonts w:ascii="Century Gothic" w:hAnsi="Century Gothic"/>
          <w:sz w:val="22"/>
        </w:rPr>
        <w:t xml:space="preserve">  </w:t>
      </w:r>
      <w:proofErr w:type="gramStart"/>
      <w:r w:rsidRPr="002663C1">
        <w:rPr>
          <w:rFonts w:ascii="Century Gothic" w:hAnsi="Century Gothic"/>
          <w:sz w:val="22"/>
        </w:rPr>
        <w:t>personnel</w:t>
      </w:r>
      <w:proofErr w:type="gramEnd"/>
      <w:r w:rsidRPr="002663C1">
        <w:rPr>
          <w:rFonts w:ascii="Century Gothic" w:hAnsi="Century Gothic"/>
          <w:sz w:val="22"/>
        </w:rPr>
        <w:t xml:space="preserve"> à affecter.</w:t>
      </w:r>
    </w:p>
    <w:p w14:paraId="1FE06827" w14:textId="59C14F60" w:rsidR="00C669CF" w:rsidRDefault="00892F43" w:rsidP="0017072E">
      <w:pPr>
        <w:spacing w:after="0" w:line="240" w:lineRule="auto"/>
        <w:ind w:right="15" w:firstLine="0"/>
        <w:rPr>
          <w:rFonts w:ascii="Century Gothic" w:hAnsi="Century Gothic"/>
          <w:sz w:val="22"/>
        </w:rPr>
      </w:pPr>
      <w:r>
        <w:rPr>
          <w:rFonts w:ascii="Century Gothic" w:hAnsi="Century Gothic"/>
          <w:b/>
          <w:noProof/>
        </w:rPr>
        <w:drawing>
          <wp:anchor distT="0" distB="0" distL="114300" distR="114300" simplePos="0" relativeHeight="251665408" behindDoc="1" locked="0" layoutInCell="0" allowOverlap="1" wp14:anchorId="60BA2596" wp14:editId="61C7ED41">
            <wp:simplePos x="0" y="0"/>
            <wp:positionH relativeFrom="margin">
              <wp:posOffset>168910</wp:posOffset>
            </wp:positionH>
            <wp:positionV relativeFrom="margin">
              <wp:posOffset>24935180</wp:posOffset>
            </wp:positionV>
            <wp:extent cx="5716270" cy="31394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8139802"/>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716270" cy="3139440"/>
                    </a:xfrm>
                    <a:prstGeom prst="rect">
                      <a:avLst/>
                    </a:prstGeom>
                    <a:noFill/>
                  </pic:spPr>
                </pic:pic>
              </a:graphicData>
            </a:graphic>
            <wp14:sizeRelH relativeFrom="page">
              <wp14:pctWidth>0</wp14:pctWidth>
            </wp14:sizeRelH>
            <wp14:sizeRelV relativeFrom="page">
              <wp14:pctHeight>0</wp14:pctHeight>
            </wp14:sizeRelV>
          </wp:anchor>
        </w:drawing>
      </w:r>
    </w:p>
    <w:p w14:paraId="69B2F056" w14:textId="77777777" w:rsidR="0017072E" w:rsidRPr="002663C1" w:rsidRDefault="0017072E" w:rsidP="0017072E">
      <w:pPr>
        <w:spacing w:after="0" w:line="240" w:lineRule="auto"/>
        <w:ind w:left="2" w:right="15" w:firstLine="0"/>
        <w:rPr>
          <w:rFonts w:ascii="Century Gothic" w:hAnsi="Century Gothic"/>
          <w:sz w:val="22"/>
        </w:rPr>
      </w:pPr>
    </w:p>
    <w:p w14:paraId="10BB1565" w14:textId="77777777" w:rsidR="0017072E" w:rsidRDefault="0017072E" w:rsidP="0017072E">
      <w:pPr>
        <w:pStyle w:val="Paragraphedeliste"/>
        <w:numPr>
          <w:ilvl w:val="1"/>
          <w:numId w:val="1"/>
        </w:numPr>
        <w:spacing w:after="0" w:line="240" w:lineRule="auto"/>
        <w:ind w:right="15"/>
        <w:rPr>
          <w:rFonts w:ascii="Century Gothic" w:hAnsi="Century Gothic"/>
          <w:b/>
          <w:sz w:val="22"/>
        </w:rPr>
      </w:pPr>
      <w:r w:rsidRPr="002663C1">
        <w:rPr>
          <w:rFonts w:ascii="Century Gothic" w:hAnsi="Century Gothic"/>
          <w:b/>
          <w:sz w:val="22"/>
        </w:rPr>
        <w:t>Chiffres d’affaires :</w:t>
      </w:r>
    </w:p>
    <w:p w14:paraId="74308AB8" w14:textId="77777777" w:rsidR="0017072E" w:rsidRPr="007E7A62" w:rsidRDefault="0017072E" w:rsidP="0017072E">
      <w:pPr>
        <w:pStyle w:val="Paragraphedeliste"/>
        <w:spacing w:after="0" w:line="240" w:lineRule="auto"/>
        <w:ind w:left="362" w:right="15" w:firstLine="0"/>
        <w:rPr>
          <w:rFonts w:ascii="Century Gothic" w:hAnsi="Century Gothic"/>
          <w:b/>
          <w:sz w:val="6"/>
        </w:rPr>
      </w:pPr>
    </w:p>
    <w:p w14:paraId="0546BC8B" w14:textId="77777777" w:rsidR="0017072E" w:rsidRPr="002663C1" w:rsidRDefault="0017072E" w:rsidP="0017072E">
      <w:pPr>
        <w:spacing w:after="0" w:line="240" w:lineRule="auto"/>
        <w:ind w:left="360" w:right="88"/>
        <w:rPr>
          <w:rFonts w:ascii="Century Gothic" w:hAnsi="Century Gothic"/>
          <w:sz w:val="22"/>
        </w:rPr>
      </w:pPr>
      <w:r w:rsidRPr="002663C1">
        <w:rPr>
          <w:rFonts w:ascii="Century Gothic" w:hAnsi="Century Gothic"/>
          <w:sz w:val="22"/>
        </w:rPr>
        <w:t>Avoir un chiffre d’affaires annuel moyen des activités d’aménagements ou de réhabilitations des périmètres hydro-agricoles du double du montant de l’offre en Francs Guinéens, qui correspondent au total des paiements ordonnancés pour les marchés en cours ou achevés au cours des trois (03) dernières années (</w:t>
      </w:r>
      <w:r w:rsidRPr="00DB5314">
        <w:rPr>
          <w:rFonts w:ascii="Century Gothic" w:hAnsi="Century Gothic"/>
          <w:b/>
          <w:bCs/>
          <w:sz w:val="22"/>
        </w:rPr>
        <w:t>2020 ; 2021</w:t>
      </w:r>
      <w:r>
        <w:rPr>
          <w:rFonts w:ascii="Century Gothic" w:hAnsi="Century Gothic"/>
          <w:b/>
          <w:bCs/>
          <w:sz w:val="22"/>
        </w:rPr>
        <w:t> ; 2022</w:t>
      </w:r>
      <w:r w:rsidRPr="00DB5314">
        <w:rPr>
          <w:rFonts w:ascii="Century Gothic" w:hAnsi="Century Gothic"/>
          <w:b/>
          <w:bCs/>
          <w:sz w:val="22"/>
        </w:rPr>
        <w:t>)</w:t>
      </w:r>
      <w:r w:rsidRPr="00DB5314">
        <w:rPr>
          <w:rFonts w:ascii="Century Gothic" w:hAnsi="Century Gothic"/>
          <w:sz w:val="22"/>
        </w:rPr>
        <w:t xml:space="preserve"> ;</w:t>
      </w:r>
      <w:r w:rsidRPr="002663C1">
        <w:rPr>
          <w:rFonts w:ascii="Century Gothic" w:hAnsi="Century Gothic"/>
          <w:sz w:val="22"/>
        </w:rPr>
        <w:t xml:space="preserve"> </w:t>
      </w:r>
    </w:p>
    <w:p w14:paraId="05BBD22D" w14:textId="77777777" w:rsidR="0017072E" w:rsidRPr="002663C1" w:rsidRDefault="0017072E" w:rsidP="0017072E">
      <w:pPr>
        <w:numPr>
          <w:ilvl w:val="1"/>
          <w:numId w:val="1"/>
        </w:numPr>
        <w:spacing w:after="161" w:line="240" w:lineRule="auto"/>
        <w:ind w:right="15"/>
        <w:rPr>
          <w:rFonts w:ascii="Century Gothic" w:hAnsi="Century Gothic"/>
          <w:sz w:val="22"/>
        </w:rPr>
      </w:pPr>
      <w:r w:rsidRPr="002663C1">
        <w:rPr>
          <w:rFonts w:ascii="Century Gothic" w:hAnsi="Century Gothic"/>
          <w:b/>
          <w:sz w:val="22"/>
        </w:rPr>
        <w:t>Expérience générale d’aménagements ou de réhabilitations des périmètres hydro-agricoles</w:t>
      </w:r>
      <w:r w:rsidRPr="002663C1">
        <w:rPr>
          <w:rFonts w:ascii="Century Gothic" w:hAnsi="Century Gothic"/>
          <w:sz w:val="22"/>
        </w:rPr>
        <w:t xml:space="preserve"> : expérience des marchés de travaux à titre d’entrepreneur au cours des cinq dernières années </w:t>
      </w:r>
      <w:r w:rsidRPr="002663C1">
        <w:rPr>
          <w:rFonts w:ascii="Century Gothic" w:hAnsi="Century Gothic"/>
          <w:b/>
          <w:sz w:val="22"/>
        </w:rPr>
        <w:t>(</w:t>
      </w:r>
      <w:bookmarkStart w:id="1" w:name="_Hlk130993331"/>
      <w:r w:rsidRPr="002663C1">
        <w:rPr>
          <w:rFonts w:ascii="Century Gothic" w:hAnsi="Century Gothic"/>
          <w:b/>
          <w:sz w:val="22"/>
        </w:rPr>
        <w:t>201</w:t>
      </w:r>
      <w:r>
        <w:rPr>
          <w:rFonts w:ascii="Century Gothic" w:hAnsi="Century Gothic"/>
          <w:b/>
          <w:sz w:val="22"/>
        </w:rPr>
        <w:t>8</w:t>
      </w:r>
      <w:r w:rsidRPr="002663C1">
        <w:rPr>
          <w:rFonts w:ascii="Century Gothic" w:hAnsi="Century Gothic"/>
          <w:b/>
          <w:sz w:val="22"/>
        </w:rPr>
        <w:t xml:space="preserve"> ; 201</w:t>
      </w:r>
      <w:r>
        <w:rPr>
          <w:rFonts w:ascii="Century Gothic" w:hAnsi="Century Gothic"/>
          <w:b/>
          <w:sz w:val="22"/>
        </w:rPr>
        <w:t>9</w:t>
      </w:r>
      <w:r w:rsidRPr="002663C1">
        <w:rPr>
          <w:rFonts w:ascii="Century Gothic" w:hAnsi="Century Gothic"/>
          <w:b/>
          <w:sz w:val="22"/>
        </w:rPr>
        <w:t xml:space="preserve"> ; 20</w:t>
      </w:r>
      <w:r>
        <w:rPr>
          <w:rFonts w:ascii="Century Gothic" w:hAnsi="Century Gothic"/>
          <w:b/>
          <w:sz w:val="22"/>
        </w:rPr>
        <w:t>20</w:t>
      </w:r>
      <w:r w:rsidRPr="002663C1">
        <w:rPr>
          <w:rFonts w:ascii="Century Gothic" w:hAnsi="Century Gothic"/>
          <w:b/>
          <w:sz w:val="22"/>
        </w:rPr>
        <w:t xml:space="preserve"> ; 202</w:t>
      </w:r>
      <w:r>
        <w:rPr>
          <w:rFonts w:ascii="Century Gothic" w:hAnsi="Century Gothic"/>
          <w:b/>
          <w:sz w:val="22"/>
        </w:rPr>
        <w:t>1</w:t>
      </w:r>
      <w:r w:rsidRPr="002663C1">
        <w:rPr>
          <w:rFonts w:ascii="Century Gothic" w:hAnsi="Century Gothic"/>
          <w:b/>
          <w:sz w:val="22"/>
        </w:rPr>
        <w:t xml:space="preserve"> ; 202</w:t>
      </w:r>
      <w:r>
        <w:rPr>
          <w:rFonts w:ascii="Century Gothic" w:hAnsi="Century Gothic"/>
          <w:b/>
          <w:sz w:val="22"/>
        </w:rPr>
        <w:t>2</w:t>
      </w:r>
      <w:bookmarkEnd w:id="1"/>
      <w:r w:rsidRPr="002663C1">
        <w:rPr>
          <w:rFonts w:ascii="Century Gothic" w:hAnsi="Century Gothic"/>
          <w:b/>
          <w:sz w:val="22"/>
        </w:rPr>
        <w:t>),</w:t>
      </w:r>
      <w:r w:rsidRPr="002663C1">
        <w:rPr>
          <w:rFonts w:ascii="Century Gothic" w:hAnsi="Century Gothic"/>
          <w:sz w:val="22"/>
        </w:rPr>
        <w:t xml:space="preserve"> qui précèdent la date limite de dépôt des soumissions ;</w:t>
      </w:r>
    </w:p>
    <w:p w14:paraId="117ACC3C" w14:textId="77777777" w:rsidR="0017072E" w:rsidRPr="002663C1" w:rsidRDefault="0017072E" w:rsidP="0017072E">
      <w:pPr>
        <w:numPr>
          <w:ilvl w:val="1"/>
          <w:numId w:val="1"/>
        </w:numPr>
        <w:spacing w:line="240" w:lineRule="auto"/>
        <w:ind w:right="15"/>
        <w:rPr>
          <w:rFonts w:ascii="Century Gothic" w:hAnsi="Century Gothic"/>
          <w:sz w:val="22"/>
        </w:rPr>
      </w:pPr>
      <w:r w:rsidRPr="002663C1">
        <w:rPr>
          <w:rFonts w:ascii="Century Gothic" w:hAnsi="Century Gothic"/>
          <w:b/>
          <w:sz w:val="22"/>
        </w:rPr>
        <w:t>Expérience spécifique d’aménagements ou de réhabilitations des périmètres hydro agricoles</w:t>
      </w:r>
      <w:r w:rsidRPr="002663C1">
        <w:rPr>
          <w:rFonts w:ascii="Century Gothic" w:hAnsi="Century Gothic"/>
          <w:sz w:val="22"/>
        </w:rPr>
        <w:t xml:space="preserve"> : Avoir effectivement exécuté en tant qu’entrepreneur, ou sous-traitant dans au moins deux </w:t>
      </w:r>
      <w:r w:rsidRPr="002663C1">
        <w:rPr>
          <w:rFonts w:ascii="Century Gothic" w:hAnsi="Century Gothic"/>
          <w:b/>
          <w:sz w:val="22"/>
        </w:rPr>
        <w:t xml:space="preserve">(02) marchés similaires au cours des cinq (05) dernières années </w:t>
      </w:r>
      <w:r>
        <w:rPr>
          <w:rFonts w:ascii="Century Gothic" w:hAnsi="Century Gothic"/>
          <w:b/>
          <w:sz w:val="22"/>
        </w:rPr>
        <w:t>(</w:t>
      </w:r>
      <w:r w:rsidRPr="002663C1">
        <w:rPr>
          <w:rFonts w:ascii="Century Gothic" w:hAnsi="Century Gothic"/>
          <w:b/>
          <w:sz w:val="22"/>
        </w:rPr>
        <w:t>201</w:t>
      </w:r>
      <w:r>
        <w:rPr>
          <w:rFonts w:ascii="Century Gothic" w:hAnsi="Century Gothic"/>
          <w:b/>
          <w:sz w:val="22"/>
        </w:rPr>
        <w:t>8</w:t>
      </w:r>
      <w:r w:rsidRPr="002663C1">
        <w:rPr>
          <w:rFonts w:ascii="Century Gothic" w:hAnsi="Century Gothic"/>
          <w:b/>
          <w:sz w:val="22"/>
        </w:rPr>
        <w:t xml:space="preserve"> ; 201</w:t>
      </w:r>
      <w:r>
        <w:rPr>
          <w:rFonts w:ascii="Century Gothic" w:hAnsi="Century Gothic"/>
          <w:b/>
          <w:sz w:val="22"/>
        </w:rPr>
        <w:t>9</w:t>
      </w:r>
      <w:r w:rsidRPr="002663C1">
        <w:rPr>
          <w:rFonts w:ascii="Century Gothic" w:hAnsi="Century Gothic"/>
          <w:b/>
          <w:sz w:val="22"/>
        </w:rPr>
        <w:t xml:space="preserve"> ; 20</w:t>
      </w:r>
      <w:r>
        <w:rPr>
          <w:rFonts w:ascii="Century Gothic" w:hAnsi="Century Gothic"/>
          <w:b/>
          <w:sz w:val="22"/>
        </w:rPr>
        <w:t>20</w:t>
      </w:r>
      <w:r w:rsidRPr="002663C1">
        <w:rPr>
          <w:rFonts w:ascii="Century Gothic" w:hAnsi="Century Gothic"/>
          <w:b/>
          <w:sz w:val="22"/>
        </w:rPr>
        <w:t xml:space="preserve"> ; 202</w:t>
      </w:r>
      <w:r>
        <w:rPr>
          <w:rFonts w:ascii="Century Gothic" w:hAnsi="Century Gothic"/>
          <w:b/>
          <w:sz w:val="22"/>
        </w:rPr>
        <w:t>1</w:t>
      </w:r>
      <w:r w:rsidRPr="002663C1">
        <w:rPr>
          <w:rFonts w:ascii="Century Gothic" w:hAnsi="Century Gothic"/>
          <w:b/>
          <w:sz w:val="22"/>
        </w:rPr>
        <w:t xml:space="preserve"> ; 202</w:t>
      </w:r>
      <w:r>
        <w:rPr>
          <w:rFonts w:ascii="Century Gothic" w:hAnsi="Century Gothic"/>
          <w:b/>
          <w:sz w:val="22"/>
        </w:rPr>
        <w:t>2</w:t>
      </w:r>
      <w:r w:rsidRPr="002663C1">
        <w:rPr>
          <w:rFonts w:ascii="Century Gothic" w:hAnsi="Century Gothic"/>
          <w:b/>
          <w:sz w:val="22"/>
        </w:rPr>
        <w:t>)</w:t>
      </w:r>
      <w:r w:rsidRPr="002663C1">
        <w:rPr>
          <w:rFonts w:ascii="Century Gothic" w:hAnsi="Century Gothic"/>
          <w:sz w:val="22"/>
        </w:rPr>
        <w:t xml:space="preserve"> avec une valeur minimum supérieure ou égale à </w:t>
      </w:r>
      <w:r w:rsidRPr="004F6CD2">
        <w:rPr>
          <w:rFonts w:ascii="Century Gothic" w:hAnsi="Century Gothic"/>
          <w:b/>
          <w:sz w:val="22"/>
        </w:rPr>
        <w:t>dix milliards (10 000 000 000 GNF),</w:t>
      </w:r>
      <w:r w:rsidRPr="002663C1">
        <w:rPr>
          <w:rFonts w:ascii="Century Gothic" w:hAnsi="Century Gothic"/>
          <w:sz w:val="22"/>
        </w:rPr>
        <w:t xml:space="preserve"> qui ont été exécutés de manière satisfaisante et terminés, pour l’essentiel, et qui sont similaires aux travaux proposés. La similitude portera sur la taille physique, la complexité, les méthodes/technologies ou autres caractéristiques telles que décrites dans la Section IV, Étendue des Travaux.</w:t>
      </w:r>
    </w:p>
    <w:p w14:paraId="2EF9E301" w14:textId="77777777" w:rsidR="0017072E" w:rsidRPr="002663C1" w:rsidRDefault="0017072E" w:rsidP="0017072E">
      <w:pPr>
        <w:numPr>
          <w:ilvl w:val="1"/>
          <w:numId w:val="1"/>
        </w:numPr>
        <w:spacing w:after="147" w:line="240" w:lineRule="auto"/>
        <w:ind w:right="15"/>
        <w:rPr>
          <w:rFonts w:ascii="Century Gothic" w:hAnsi="Century Gothic"/>
          <w:sz w:val="22"/>
        </w:rPr>
      </w:pPr>
      <w:r w:rsidRPr="00CB201D">
        <w:rPr>
          <w:rFonts w:ascii="Century Gothic" w:hAnsi="Century Gothic"/>
          <w:sz w:val="22"/>
        </w:rPr>
        <w:t>Personnel</w:t>
      </w:r>
      <w:r w:rsidRPr="00005613">
        <w:rPr>
          <w:rFonts w:ascii="Century Gothic" w:hAnsi="Century Gothic"/>
          <w:b/>
          <w:bCs/>
          <w:sz w:val="22"/>
        </w:rPr>
        <w:t xml:space="preserve"> :</w:t>
      </w:r>
      <w:r w:rsidRPr="002663C1">
        <w:rPr>
          <w:rFonts w:ascii="Century Gothic" w:hAnsi="Century Gothic"/>
          <w:sz w:val="22"/>
        </w:rPr>
        <w:t xml:space="preserve"> offrir un personnel clé composée comme suit :</w:t>
      </w:r>
    </w:p>
    <w:p w14:paraId="43866299" w14:textId="5EDF965F" w:rsidR="0017072E" w:rsidRPr="002663C1" w:rsidRDefault="0017072E" w:rsidP="0017072E">
      <w:pPr>
        <w:numPr>
          <w:ilvl w:val="1"/>
          <w:numId w:val="2"/>
        </w:numPr>
        <w:spacing w:after="170" w:line="240" w:lineRule="auto"/>
        <w:ind w:left="601" w:right="15" w:hanging="142"/>
        <w:rPr>
          <w:rFonts w:ascii="Century Gothic" w:hAnsi="Century Gothic"/>
          <w:sz w:val="22"/>
        </w:rPr>
      </w:pPr>
      <w:r w:rsidRPr="002663C1">
        <w:rPr>
          <w:rFonts w:ascii="Century Gothic" w:hAnsi="Century Gothic"/>
          <w:sz w:val="22"/>
        </w:rPr>
        <w:t xml:space="preserve">Un conducteur des travaux </w:t>
      </w:r>
      <w:r>
        <w:rPr>
          <w:rFonts w:ascii="Century Gothic" w:hAnsi="Century Gothic"/>
          <w:sz w:val="22"/>
        </w:rPr>
        <w:t>I</w:t>
      </w:r>
      <w:r w:rsidRPr="002663C1">
        <w:rPr>
          <w:rFonts w:ascii="Century Gothic" w:hAnsi="Century Gothic"/>
          <w:sz w:val="22"/>
        </w:rPr>
        <w:t xml:space="preserve">ngénieur GR/GC ayant une expérience d’au moins Sept (7) ans et avoir réalisé au moins </w:t>
      </w:r>
      <w:r>
        <w:rPr>
          <w:rFonts w:ascii="Century Gothic" w:hAnsi="Century Gothic"/>
          <w:sz w:val="22"/>
        </w:rPr>
        <w:t>deux</w:t>
      </w:r>
      <w:r w:rsidRPr="002663C1">
        <w:rPr>
          <w:rFonts w:ascii="Century Gothic" w:hAnsi="Century Gothic"/>
          <w:sz w:val="22"/>
        </w:rPr>
        <w:t xml:space="preserve"> (0</w:t>
      </w:r>
      <w:r>
        <w:rPr>
          <w:rFonts w:ascii="Century Gothic" w:hAnsi="Century Gothic"/>
          <w:sz w:val="22"/>
        </w:rPr>
        <w:t>2</w:t>
      </w:r>
      <w:r w:rsidRPr="002663C1">
        <w:rPr>
          <w:rFonts w:ascii="Century Gothic" w:hAnsi="Century Gothic"/>
          <w:sz w:val="22"/>
        </w:rPr>
        <w:t>) projets</w:t>
      </w:r>
      <w:r w:rsidRPr="004B32C0">
        <w:rPr>
          <w:rFonts w:ascii="Century Gothic" w:hAnsi="Century Gothic"/>
          <w:sz w:val="22"/>
        </w:rPr>
        <w:t xml:space="preserve"> </w:t>
      </w:r>
      <w:r>
        <w:rPr>
          <w:rFonts w:ascii="Century Gothic" w:hAnsi="Century Gothic"/>
          <w:sz w:val="22"/>
        </w:rPr>
        <w:t xml:space="preserve">de </w:t>
      </w:r>
      <w:r w:rsidRPr="002663C1">
        <w:rPr>
          <w:rFonts w:ascii="Century Gothic" w:hAnsi="Century Gothic"/>
          <w:sz w:val="22"/>
        </w:rPr>
        <w:t>construction</w:t>
      </w:r>
      <w:r>
        <w:rPr>
          <w:rFonts w:ascii="Century Gothic" w:hAnsi="Century Gothic"/>
          <w:sz w:val="22"/>
        </w:rPr>
        <w:t>,</w:t>
      </w:r>
      <w:r w:rsidRPr="002663C1">
        <w:rPr>
          <w:rFonts w:ascii="Century Gothic" w:hAnsi="Century Gothic"/>
          <w:sz w:val="22"/>
        </w:rPr>
        <w:t xml:space="preserve"> de réhabilitation ou d’entretien d</w:t>
      </w:r>
      <w:r>
        <w:rPr>
          <w:rFonts w:ascii="Century Gothic" w:hAnsi="Century Gothic"/>
          <w:sz w:val="22"/>
        </w:rPr>
        <w:t>es aménagements hydroagri</w:t>
      </w:r>
      <w:r w:rsidR="006965CA">
        <w:rPr>
          <w:rFonts w:ascii="Century Gothic" w:hAnsi="Century Gothic"/>
          <w:b/>
          <w:noProof/>
        </w:rPr>
        <w:drawing>
          <wp:anchor distT="0" distB="0" distL="114300" distR="114300" simplePos="0" relativeHeight="251663360" behindDoc="1" locked="0" layoutInCell="0" allowOverlap="1" wp14:anchorId="4298A4C3" wp14:editId="74F5960B">
            <wp:simplePos x="0" y="0"/>
            <wp:positionH relativeFrom="margin">
              <wp:posOffset>0</wp:posOffset>
            </wp:positionH>
            <wp:positionV relativeFrom="margin">
              <wp:posOffset>3926840</wp:posOffset>
            </wp:positionV>
            <wp:extent cx="5716270" cy="31394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8139802"/>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716270" cy="31394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2"/>
        </w:rPr>
        <w:t>coles</w:t>
      </w:r>
      <w:r w:rsidRPr="002663C1">
        <w:rPr>
          <w:rFonts w:ascii="Century Gothic" w:hAnsi="Century Gothic"/>
          <w:sz w:val="22"/>
        </w:rPr>
        <w:t xml:space="preserve"> ou ouvrages en tant que conducteur de travaux.</w:t>
      </w:r>
    </w:p>
    <w:p w14:paraId="15815B21" w14:textId="77777777" w:rsidR="0017072E" w:rsidRPr="002663C1" w:rsidRDefault="0017072E" w:rsidP="0017072E">
      <w:pPr>
        <w:numPr>
          <w:ilvl w:val="1"/>
          <w:numId w:val="2"/>
        </w:numPr>
        <w:spacing w:after="168" w:line="240" w:lineRule="auto"/>
        <w:ind w:left="601" w:right="15" w:hanging="142"/>
        <w:rPr>
          <w:rFonts w:ascii="Century Gothic" w:hAnsi="Century Gothic"/>
          <w:sz w:val="22"/>
        </w:rPr>
      </w:pPr>
      <w:r w:rsidRPr="002663C1">
        <w:rPr>
          <w:rFonts w:ascii="Century Gothic" w:hAnsi="Century Gothic"/>
          <w:sz w:val="22"/>
        </w:rPr>
        <w:t xml:space="preserve">Un chef de </w:t>
      </w:r>
      <w:r>
        <w:rPr>
          <w:rFonts w:ascii="Century Gothic" w:hAnsi="Century Gothic"/>
          <w:sz w:val="22"/>
        </w:rPr>
        <w:t>chantier</w:t>
      </w:r>
      <w:r w:rsidRPr="002663C1">
        <w:rPr>
          <w:rFonts w:ascii="Century Gothic" w:hAnsi="Century Gothic"/>
          <w:sz w:val="22"/>
        </w:rPr>
        <w:t xml:space="preserve"> </w:t>
      </w:r>
      <w:r>
        <w:rPr>
          <w:rFonts w:ascii="Century Gothic" w:hAnsi="Century Gothic"/>
          <w:sz w:val="22"/>
        </w:rPr>
        <w:t>I</w:t>
      </w:r>
      <w:r w:rsidRPr="002663C1">
        <w:rPr>
          <w:rFonts w:ascii="Century Gothic" w:hAnsi="Century Gothic"/>
          <w:sz w:val="22"/>
        </w:rPr>
        <w:t xml:space="preserve">ngénieur GR/GC ayant une expérience d’au moins Cinq (5) ans et </w:t>
      </w:r>
      <w:r>
        <w:rPr>
          <w:rFonts w:ascii="Century Gothic" w:hAnsi="Century Gothic"/>
          <w:sz w:val="22"/>
        </w:rPr>
        <w:t xml:space="preserve">ayant </w:t>
      </w:r>
      <w:r w:rsidRPr="002663C1">
        <w:rPr>
          <w:rFonts w:ascii="Century Gothic" w:hAnsi="Century Gothic"/>
          <w:sz w:val="22"/>
        </w:rPr>
        <w:t xml:space="preserve">réalisé au moins deux (02) projets en tant que chef de </w:t>
      </w:r>
      <w:r>
        <w:rPr>
          <w:rFonts w:ascii="Century Gothic" w:hAnsi="Century Gothic"/>
          <w:sz w:val="22"/>
        </w:rPr>
        <w:t>chantier</w:t>
      </w:r>
      <w:r w:rsidRPr="002663C1">
        <w:rPr>
          <w:rFonts w:ascii="Century Gothic" w:hAnsi="Century Gothic"/>
          <w:sz w:val="22"/>
        </w:rPr>
        <w:t>.</w:t>
      </w:r>
    </w:p>
    <w:p w14:paraId="1E91C8C6" w14:textId="77777777" w:rsidR="0017072E" w:rsidRPr="00602D22" w:rsidRDefault="0017072E" w:rsidP="0017072E">
      <w:pPr>
        <w:numPr>
          <w:ilvl w:val="1"/>
          <w:numId w:val="2"/>
        </w:numPr>
        <w:spacing w:after="148" w:line="240" w:lineRule="auto"/>
        <w:ind w:left="601" w:right="15" w:hanging="142"/>
        <w:rPr>
          <w:rFonts w:ascii="Century Gothic" w:hAnsi="Century Gothic"/>
          <w:sz w:val="22"/>
        </w:rPr>
      </w:pPr>
      <w:r w:rsidRPr="002663C1">
        <w:rPr>
          <w:rFonts w:ascii="Century Gothic" w:hAnsi="Century Gothic"/>
          <w:sz w:val="22"/>
        </w:rPr>
        <w:t xml:space="preserve">Un environnementaliste ayant une expérience d’au moins deux (02) ans et </w:t>
      </w:r>
      <w:r>
        <w:rPr>
          <w:rFonts w:ascii="Century Gothic" w:hAnsi="Century Gothic"/>
          <w:sz w:val="22"/>
        </w:rPr>
        <w:t>ayant</w:t>
      </w:r>
      <w:r w:rsidRPr="002663C1">
        <w:rPr>
          <w:rFonts w:ascii="Century Gothic" w:hAnsi="Century Gothic"/>
          <w:sz w:val="22"/>
        </w:rPr>
        <w:t xml:space="preserve"> réalisé au moins 2 projets en tant que chargé des aspects environnementaux dans la </w:t>
      </w:r>
      <w:r>
        <w:rPr>
          <w:rFonts w:ascii="Century Gothic" w:hAnsi="Century Gothic"/>
          <w:sz w:val="22"/>
        </w:rPr>
        <w:t xml:space="preserve">réalisation </w:t>
      </w:r>
      <w:r w:rsidRPr="002663C1">
        <w:rPr>
          <w:rFonts w:ascii="Century Gothic" w:hAnsi="Century Gothic"/>
          <w:sz w:val="22"/>
        </w:rPr>
        <w:t>des travaux</w:t>
      </w:r>
      <w:r>
        <w:rPr>
          <w:rFonts w:ascii="Century Gothic" w:hAnsi="Century Gothic"/>
          <w:sz w:val="22"/>
        </w:rPr>
        <w:t xml:space="preserve"> d’aménagements hydro agricoles.</w:t>
      </w:r>
    </w:p>
    <w:p w14:paraId="59D007DB" w14:textId="77777777" w:rsidR="0017072E" w:rsidRPr="002663C1" w:rsidRDefault="0017072E" w:rsidP="0017072E">
      <w:pPr>
        <w:numPr>
          <w:ilvl w:val="1"/>
          <w:numId w:val="2"/>
        </w:numPr>
        <w:spacing w:after="148" w:line="240" w:lineRule="auto"/>
        <w:ind w:left="601" w:right="15" w:hanging="142"/>
        <w:rPr>
          <w:rFonts w:ascii="Century Gothic" w:hAnsi="Century Gothic"/>
          <w:sz w:val="22"/>
        </w:rPr>
      </w:pPr>
      <w:r w:rsidRPr="002663C1">
        <w:rPr>
          <w:rFonts w:ascii="Century Gothic" w:hAnsi="Century Gothic"/>
          <w:sz w:val="22"/>
        </w:rPr>
        <w:t>Un géotechnicien</w:t>
      </w:r>
      <w:r>
        <w:rPr>
          <w:rFonts w:ascii="Century Gothic" w:hAnsi="Century Gothic"/>
          <w:sz w:val="22"/>
        </w:rPr>
        <w:t> :</w:t>
      </w:r>
      <w:r w:rsidRPr="002663C1">
        <w:rPr>
          <w:rFonts w:ascii="Century Gothic" w:hAnsi="Century Gothic"/>
          <w:sz w:val="22"/>
        </w:rPr>
        <w:t xml:space="preserve"> </w:t>
      </w:r>
      <w:r>
        <w:rPr>
          <w:rFonts w:ascii="Century Gothic" w:hAnsi="Century Gothic"/>
          <w:sz w:val="22"/>
        </w:rPr>
        <w:t>I</w:t>
      </w:r>
      <w:r w:rsidRPr="002663C1">
        <w:rPr>
          <w:rFonts w:ascii="Century Gothic" w:hAnsi="Century Gothic"/>
          <w:sz w:val="22"/>
        </w:rPr>
        <w:t xml:space="preserve">ngénieur GC/GR ayant une expérience d’au moins cinq (5) ans et avoir réalisé au moins deux (02) projets en tant que géotechnicien dans la </w:t>
      </w:r>
      <w:r>
        <w:rPr>
          <w:rFonts w:ascii="Century Gothic" w:hAnsi="Century Gothic"/>
          <w:sz w:val="22"/>
        </w:rPr>
        <w:t xml:space="preserve">réalisation </w:t>
      </w:r>
      <w:r w:rsidRPr="002663C1">
        <w:rPr>
          <w:rFonts w:ascii="Century Gothic" w:hAnsi="Century Gothic"/>
          <w:sz w:val="22"/>
        </w:rPr>
        <w:t>des travaux</w:t>
      </w:r>
      <w:r>
        <w:rPr>
          <w:rFonts w:ascii="Century Gothic" w:hAnsi="Century Gothic"/>
          <w:sz w:val="22"/>
        </w:rPr>
        <w:t xml:space="preserve"> d’aménagements hydro agricoles ou de pistes rurales.</w:t>
      </w:r>
    </w:p>
    <w:p w14:paraId="1CCA31AE" w14:textId="0C22F506" w:rsidR="0017072E" w:rsidRPr="002663C1" w:rsidRDefault="0017072E" w:rsidP="0017072E">
      <w:pPr>
        <w:numPr>
          <w:ilvl w:val="1"/>
          <w:numId w:val="2"/>
        </w:numPr>
        <w:spacing w:line="240" w:lineRule="auto"/>
        <w:ind w:left="601" w:right="15" w:hanging="142"/>
        <w:rPr>
          <w:rFonts w:ascii="Century Gothic" w:hAnsi="Century Gothic"/>
          <w:sz w:val="22"/>
        </w:rPr>
      </w:pPr>
      <w:r w:rsidRPr="002663C1">
        <w:rPr>
          <w:rFonts w:ascii="Century Gothic" w:hAnsi="Century Gothic"/>
          <w:sz w:val="22"/>
        </w:rPr>
        <w:t>Un topographe</w:t>
      </w:r>
      <w:r>
        <w:rPr>
          <w:rFonts w:ascii="Century Gothic" w:hAnsi="Century Gothic"/>
          <w:sz w:val="22"/>
        </w:rPr>
        <w:t xml:space="preserve"> de profession</w:t>
      </w:r>
      <w:r w:rsidRPr="002663C1">
        <w:rPr>
          <w:rFonts w:ascii="Century Gothic" w:hAnsi="Century Gothic"/>
          <w:sz w:val="22"/>
        </w:rPr>
        <w:t xml:space="preserve"> ayant une expérience d’au moins cinq (5) ans et avoir réalisé au moins deux (02) projets en tant que chargé des travaux topographiq</w:t>
      </w:r>
      <w:r w:rsidR="00AB6D2D">
        <w:rPr>
          <w:rFonts w:ascii="Century Gothic" w:hAnsi="Century Gothic"/>
          <w:sz w:val="22"/>
        </w:rPr>
        <w:t>ues de Génie Rural ou de Génie C</w:t>
      </w:r>
      <w:r w:rsidRPr="002663C1">
        <w:rPr>
          <w:rFonts w:ascii="Century Gothic" w:hAnsi="Century Gothic"/>
          <w:sz w:val="22"/>
        </w:rPr>
        <w:t>ivil.</w:t>
      </w:r>
    </w:p>
    <w:p w14:paraId="13E0A0E1" w14:textId="77777777" w:rsidR="0017072E" w:rsidRPr="002663C1" w:rsidRDefault="0017072E" w:rsidP="0017072E">
      <w:pPr>
        <w:numPr>
          <w:ilvl w:val="1"/>
          <w:numId w:val="1"/>
        </w:numPr>
        <w:spacing w:after="154" w:line="240" w:lineRule="auto"/>
        <w:ind w:right="15"/>
        <w:rPr>
          <w:rFonts w:ascii="Century Gothic" w:hAnsi="Century Gothic"/>
          <w:sz w:val="22"/>
        </w:rPr>
      </w:pPr>
      <w:r w:rsidRPr="002663C1">
        <w:rPr>
          <w:rFonts w:ascii="Century Gothic" w:hAnsi="Century Gothic"/>
          <w:sz w:val="22"/>
        </w:rPr>
        <w:t>Capacité de financement : En utilisant les formulaires numéros FIN 2.3 et FIN 2.4 de la Section III, Formulaires de soumission, le Candidat doit établir qu’il a accès à des financements tels que des avoirs liquides, lignes de crédit, autres que l’avance de démarrage éventuelle, à hauteur de 20% minimum de sa proposition financière</w:t>
      </w:r>
      <w:r>
        <w:rPr>
          <w:rFonts w:ascii="Century Gothic" w:hAnsi="Century Gothic"/>
          <w:sz w:val="22"/>
        </w:rPr>
        <w:t>,</w:t>
      </w:r>
      <w:r w:rsidRPr="002663C1">
        <w:rPr>
          <w:rFonts w:ascii="Century Gothic" w:hAnsi="Century Gothic"/>
          <w:sz w:val="22"/>
        </w:rPr>
        <w:t xml:space="preserve"> délivré par une institution bancaire.</w:t>
      </w:r>
    </w:p>
    <w:p w14:paraId="2B8881D9" w14:textId="77777777" w:rsidR="0017072E" w:rsidRPr="002663C1" w:rsidRDefault="0017072E" w:rsidP="0017072E">
      <w:pPr>
        <w:spacing w:after="92" w:line="240" w:lineRule="auto"/>
        <w:ind w:left="-3" w:right="89"/>
        <w:rPr>
          <w:rFonts w:ascii="Century Gothic" w:hAnsi="Century Gothic"/>
          <w:sz w:val="22"/>
        </w:rPr>
      </w:pPr>
      <w:r w:rsidRPr="007E7A62">
        <w:rPr>
          <w:rFonts w:ascii="Century Gothic" w:hAnsi="Century Gothic"/>
          <w:b/>
          <w:sz w:val="22"/>
        </w:rPr>
        <w:t xml:space="preserve">9 </w:t>
      </w:r>
      <w:r w:rsidRPr="002663C1">
        <w:rPr>
          <w:rFonts w:ascii="Century Gothic" w:hAnsi="Century Gothic"/>
          <w:sz w:val="22"/>
        </w:rPr>
        <w:t xml:space="preserve">-Le document Dossier d’Appel d’Offres sera retiré par le soumissionnaire lui-même ou son représentant après paiement d’un montant non remboursable </w:t>
      </w:r>
      <w:r w:rsidRPr="003E7D35">
        <w:rPr>
          <w:rFonts w:ascii="Century Gothic" w:hAnsi="Century Gothic"/>
          <w:sz w:val="22"/>
        </w:rPr>
        <w:t>de Cinq millions (5 000 000 GNF)</w:t>
      </w:r>
      <w:r w:rsidRPr="008E4494">
        <w:rPr>
          <w:rFonts w:ascii="Century Gothic" w:hAnsi="Century Gothic"/>
          <w:sz w:val="22"/>
        </w:rPr>
        <w:t xml:space="preserve"> de Francs Guinéens répartit comme suit :</w:t>
      </w:r>
      <w:r w:rsidRPr="002663C1">
        <w:rPr>
          <w:rFonts w:ascii="Century Gothic" w:hAnsi="Century Gothic"/>
          <w:sz w:val="22"/>
        </w:rPr>
        <w:t xml:space="preserve"> </w:t>
      </w:r>
    </w:p>
    <w:p w14:paraId="2EEA3ED2" w14:textId="5EA8B134" w:rsidR="0017072E" w:rsidRPr="002663C1" w:rsidRDefault="0017072E" w:rsidP="0017072E">
      <w:pPr>
        <w:numPr>
          <w:ilvl w:val="0"/>
          <w:numId w:val="3"/>
        </w:numPr>
        <w:spacing w:after="0" w:line="240" w:lineRule="auto"/>
        <w:ind w:right="15"/>
        <w:rPr>
          <w:rFonts w:ascii="Century Gothic" w:hAnsi="Century Gothic"/>
          <w:sz w:val="22"/>
        </w:rPr>
      </w:pPr>
      <w:r w:rsidRPr="00691850">
        <w:rPr>
          <w:rFonts w:ascii="Century Gothic" w:hAnsi="Century Gothic"/>
          <w:b/>
          <w:sz w:val="22"/>
        </w:rPr>
        <w:t>20%</w:t>
      </w:r>
      <w:r w:rsidRPr="002663C1">
        <w:rPr>
          <w:rFonts w:ascii="Century Gothic" w:hAnsi="Century Gothic"/>
          <w:sz w:val="22"/>
        </w:rPr>
        <w:t xml:space="preserve"> des produits de vente du DAO reviennent à l’autorité contractante versé sur le compte </w:t>
      </w:r>
      <w:r w:rsidRPr="00691850">
        <w:rPr>
          <w:rFonts w:ascii="Century Gothic" w:hAnsi="Century Gothic"/>
          <w:b/>
          <w:sz w:val="22"/>
        </w:rPr>
        <w:t>orange money N° 611 41 23 17</w:t>
      </w:r>
      <w:r w:rsidRPr="002663C1">
        <w:rPr>
          <w:rFonts w:ascii="Century Gothic" w:hAnsi="Century Gothic"/>
          <w:sz w:val="22"/>
        </w:rPr>
        <w:t xml:space="preserve"> à la Cellule de Passation des Marchés Publics du MA</w:t>
      </w:r>
      <w:r>
        <w:rPr>
          <w:rFonts w:ascii="Century Gothic" w:hAnsi="Century Gothic"/>
          <w:sz w:val="22"/>
        </w:rPr>
        <w:t>E</w:t>
      </w:r>
      <w:r w:rsidR="00892F43">
        <w:rPr>
          <w:rFonts w:ascii="Century Gothic" w:hAnsi="Century Gothic"/>
          <w:sz w:val="22"/>
        </w:rPr>
        <w:t> ;</w:t>
      </w:r>
    </w:p>
    <w:p w14:paraId="6B78C1B9" w14:textId="3CE09ED4" w:rsidR="0017072E" w:rsidRPr="0096017C" w:rsidRDefault="0017072E" w:rsidP="0017072E">
      <w:pPr>
        <w:numPr>
          <w:ilvl w:val="0"/>
          <w:numId w:val="3"/>
        </w:numPr>
        <w:spacing w:after="0" w:line="240" w:lineRule="auto"/>
        <w:ind w:right="15" w:firstLine="0"/>
        <w:rPr>
          <w:rFonts w:ascii="Century Gothic" w:hAnsi="Century Gothic"/>
          <w:sz w:val="22"/>
        </w:rPr>
      </w:pPr>
      <w:r w:rsidRPr="00691850">
        <w:rPr>
          <w:rFonts w:ascii="Century Gothic" w:hAnsi="Century Gothic"/>
          <w:b/>
          <w:sz w:val="22"/>
        </w:rPr>
        <w:t>30%</w:t>
      </w:r>
      <w:r w:rsidRPr="00691850">
        <w:rPr>
          <w:rFonts w:ascii="Century Gothic" w:hAnsi="Century Gothic"/>
          <w:sz w:val="22"/>
        </w:rPr>
        <w:t xml:space="preserve"> des produits de vente du DAO reviennent à l’ARMP au compte bancaire </w:t>
      </w:r>
      <w:r w:rsidRPr="0096017C">
        <w:rPr>
          <w:rFonts w:ascii="Century Gothic" w:hAnsi="Century Gothic"/>
          <w:b/>
          <w:sz w:val="22"/>
        </w:rPr>
        <w:t xml:space="preserve">N° 011000307 </w:t>
      </w:r>
      <w:r w:rsidRPr="0096017C">
        <w:rPr>
          <w:rFonts w:ascii="Century Gothic" w:hAnsi="Century Gothic"/>
          <w:sz w:val="22"/>
        </w:rPr>
        <w:t>Ouvert à la Banque Centr</w:t>
      </w:r>
      <w:r w:rsidR="00892F43">
        <w:rPr>
          <w:rFonts w:ascii="Century Gothic" w:hAnsi="Century Gothic"/>
          <w:sz w:val="22"/>
        </w:rPr>
        <w:t>ale de la République de Guinée et</w:t>
      </w:r>
    </w:p>
    <w:p w14:paraId="12ACC255" w14:textId="77777777" w:rsidR="0017072E" w:rsidRPr="00691850" w:rsidRDefault="0017072E" w:rsidP="0017072E">
      <w:pPr>
        <w:numPr>
          <w:ilvl w:val="0"/>
          <w:numId w:val="3"/>
        </w:numPr>
        <w:spacing w:after="0" w:line="240" w:lineRule="auto"/>
        <w:ind w:left="2" w:right="15" w:firstLine="0"/>
        <w:rPr>
          <w:rFonts w:ascii="Century Gothic" w:hAnsi="Century Gothic"/>
          <w:sz w:val="22"/>
        </w:rPr>
      </w:pPr>
      <w:r w:rsidRPr="00691850">
        <w:rPr>
          <w:rFonts w:ascii="Century Gothic" w:hAnsi="Century Gothic"/>
          <w:b/>
          <w:sz w:val="22"/>
        </w:rPr>
        <w:t>50%</w:t>
      </w:r>
      <w:r w:rsidRPr="00691850">
        <w:rPr>
          <w:rFonts w:ascii="Century Gothic" w:hAnsi="Century Gothic"/>
          <w:sz w:val="22"/>
        </w:rPr>
        <w:t xml:space="preserve"> au compte </w:t>
      </w:r>
      <w:r w:rsidRPr="00691850">
        <w:rPr>
          <w:rFonts w:ascii="Century Gothic" w:hAnsi="Century Gothic"/>
          <w:b/>
          <w:sz w:val="22"/>
        </w:rPr>
        <w:t>N° 41110710</w:t>
      </w:r>
      <w:r w:rsidRPr="00691850">
        <w:rPr>
          <w:rFonts w:ascii="Century Gothic" w:hAnsi="Century Gothic"/>
          <w:sz w:val="22"/>
        </w:rPr>
        <w:t xml:space="preserve"> du Trésor Public ouvert à la Banque Centrale de la République de</w:t>
      </w:r>
      <w:r>
        <w:rPr>
          <w:rFonts w:ascii="Century Gothic" w:hAnsi="Century Gothic"/>
          <w:sz w:val="22"/>
        </w:rPr>
        <w:t xml:space="preserve"> </w:t>
      </w:r>
      <w:r w:rsidRPr="00691850">
        <w:rPr>
          <w:rFonts w:ascii="Century Gothic" w:hAnsi="Century Gothic"/>
          <w:sz w:val="22"/>
        </w:rPr>
        <w:t>Guinée.</w:t>
      </w:r>
    </w:p>
    <w:p w14:paraId="08A7EE8E" w14:textId="77777777" w:rsidR="0017072E" w:rsidRPr="002663C1" w:rsidRDefault="0017072E" w:rsidP="0017072E">
      <w:pPr>
        <w:spacing w:after="0" w:line="240" w:lineRule="auto"/>
        <w:ind w:left="2" w:right="15" w:firstLine="0"/>
        <w:rPr>
          <w:rFonts w:ascii="Century Gothic" w:hAnsi="Century Gothic"/>
          <w:sz w:val="22"/>
        </w:rPr>
      </w:pPr>
    </w:p>
    <w:p w14:paraId="2D776F7D" w14:textId="44C1054A" w:rsidR="0017072E" w:rsidRDefault="0017072E" w:rsidP="0017072E">
      <w:pPr>
        <w:pStyle w:val="Paragraphedeliste"/>
        <w:numPr>
          <w:ilvl w:val="0"/>
          <w:numId w:val="4"/>
        </w:numPr>
        <w:spacing w:after="0" w:line="240" w:lineRule="auto"/>
        <w:ind w:right="86"/>
        <w:rPr>
          <w:rFonts w:ascii="Century Gothic" w:hAnsi="Century Gothic"/>
          <w:sz w:val="22"/>
        </w:rPr>
      </w:pPr>
      <w:r w:rsidRPr="002663C1">
        <w:rPr>
          <w:rFonts w:ascii="Century Gothic" w:hAnsi="Century Gothic"/>
          <w:sz w:val="22"/>
        </w:rPr>
        <w:lastRenderedPageBreak/>
        <w:t>Les offres devront être rédigées en langue française et déposées en quatre (04) exemplaires dont un (01) original et trois (03) copies à l'adresse ci-après</w:t>
      </w:r>
      <w:r>
        <w:rPr>
          <w:rFonts w:ascii="Century Gothic" w:hAnsi="Century Gothic"/>
          <w:sz w:val="22"/>
        </w:rPr>
        <w:t> :</w:t>
      </w:r>
      <w:r w:rsidRPr="002663C1">
        <w:rPr>
          <w:rFonts w:ascii="Century Gothic" w:hAnsi="Century Gothic"/>
          <w:sz w:val="22"/>
        </w:rPr>
        <w:t xml:space="preserve"> </w:t>
      </w:r>
      <w:r w:rsidRPr="005E20E9">
        <w:rPr>
          <w:rFonts w:ascii="Century Gothic" w:hAnsi="Century Gothic"/>
          <w:b/>
          <w:bCs/>
          <w:sz w:val="22"/>
        </w:rPr>
        <w:t xml:space="preserve">Direction Nationale du Génie Rural (DNGR) Quartier </w:t>
      </w:r>
      <w:proofErr w:type="spellStart"/>
      <w:r w:rsidRPr="005E20E9">
        <w:rPr>
          <w:rFonts w:ascii="Century Gothic" w:hAnsi="Century Gothic"/>
          <w:b/>
          <w:bCs/>
          <w:sz w:val="22"/>
        </w:rPr>
        <w:t>Matoto</w:t>
      </w:r>
      <w:proofErr w:type="spellEnd"/>
      <w:r w:rsidRPr="005E20E9">
        <w:rPr>
          <w:rFonts w:ascii="Century Gothic" w:hAnsi="Century Gothic"/>
          <w:b/>
          <w:bCs/>
          <w:sz w:val="22"/>
        </w:rPr>
        <w:t xml:space="preserve"> Marché corniche, BP : 65 Conakry,</w:t>
      </w:r>
      <w:r w:rsidRPr="0096017C">
        <w:rPr>
          <w:rFonts w:ascii="Century Gothic" w:hAnsi="Century Gothic"/>
          <w:sz w:val="22"/>
        </w:rPr>
        <w:t xml:space="preserve"> République de Guinée</w:t>
      </w:r>
      <w:r w:rsidRPr="002663C1">
        <w:rPr>
          <w:rFonts w:ascii="Century Gothic" w:hAnsi="Century Gothic"/>
          <w:sz w:val="22"/>
        </w:rPr>
        <w:t xml:space="preserve">, au plus </w:t>
      </w:r>
      <w:r w:rsidRPr="003E7D35">
        <w:rPr>
          <w:rFonts w:ascii="Century Gothic" w:hAnsi="Century Gothic"/>
          <w:sz w:val="22"/>
        </w:rPr>
        <w:t xml:space="preserve">tard </w:t>
      </w:r>
      <w:r w:rsidRPr="00C669CF">
        <w:rPr>
          <w:rFonts w:ascii="Century Gothic" w:hAnsi="Century Gothic"/>
          <w:sz w:val="22"/>
        </w:rPr>
        <w:t>le</w:t>
      </w:r>
      <w:r w:rsidR="00713E89">
        <w:rPr>
          <w:rFonts w:ascii="Century Gothic" w:hAnsi="Century Gothic"/>
          <w:sz w:val="22"/>
        </w:rPr>
        <w:t xml:space="preserve"> </w:t>
      </w:r>
      <w:bookmarkStart w:id="2" w:name="_GoBack"/>
      <w:bookmarkEnd w:id="2"/>
      <w:r w:rsidR="00713E89">
        <w:rPr>
          <w:rFonts w:ascii="Century Gothic" w:hAnsi="Century Gothic"/>
          <w:sz w:val="22"/>
        </w:rPr>
        <w:t>20</w:t>
      </w:r>
      <w:r w:rsidRPr="003E7D35">
        <w:rPr>
          <w:rFonts w:ascii="Century Gothic" w:hAnsi="Century Gothic"/>
          <w:sz w:val="22"/>
        </w:rPr>
        <w:t xml:space="preserve"> Mai 2023 à 10 heures 00 mn heure limite des dépôts des plis et l’ouverture le même jour à 10 heures 30 minutes. </w:t>
      </w:r>
    </w:p>
    <w:p w14:paraId="5FF3CDC8" w14:textId="09E7C0F3" w:rsidR="00B05962" w:rsidRPr="00F604FB" w:rsidRDefault="00B05962" w:rsidP="00B05962">
      <w:pPr>
        <w:spacing w:after="0" w:line="240" w:lineRule="auto"/>
        <w:ind w:left="2" w:right="86" w:firstLine="0"/>
        <w:rPr>
          <w:rFonts w:ascii="Century Gothic" w:hAnsi="Century Gothic"/>
          <w:sz w:val="12"/>
        </w:rPr>
      </w:pPr>
    </w:p>
    <w:p w14:paraId="59FCE733" w14:textId="46148855" w:rsidR="0017072E" w:rsidRDefault="00B05962" w:rsidP="00B05962">
      <w:pPr>
        <w:pStyle w:val="Paragraphedeliste"/>
        <w:numPr>
          <w:ilvl w:val="0"/>
          <w:numId w:val="4"/>
        </w:numPr>
        <w:rPr>
          <w:rFonts w:ascii="Century Gothic" w:hAnsi="Century Gothic"/>
          <w:b/>
          <w:szCs w:val="24"/>
        </w:rPr>
      </w:pPr>
      <w:r w:rsidRPr="00B05962">
        <w:rPr>
          <w:rFonts w:ascii="Century Gothic" w:hAnsi="Century Gothic"/>
          <w:sz w:val="22"/>
        </w:rPr>
        <w:t>Les entreprises intéressées doivent obligatoirement s’enregistrer  en ligne sur la plate-forme à l’adresse de gestion des appels d’offres du Ministère de l’Agriculture et de l’Elevage à l’adresse</w:t>
      </w:r>
      <w:r w:rsidRPr="00B05962">
        <w:rPr>
          <w:rFonts w:ascii="Century Gothic" w:hAnsi="Century Gothic"/>
          <w:b/>
          <w:szCs w:val="24"/>
        </w:rPr>
        <w:t xml:space="preserve"> </w:t>
      </w:r>
      <w:hyperlink r:id="rId10" w:history="1">
        <w:r w:rsidRPr="00B05962">
          <w:rPr>
            <w:rStyle w:val="Lienhypertexte"/>
            <w:rFonts w:ascii="Century Gothic" w:hAnsi="Century Gothic"/>
            <w:b/>
            <w:sz w:val="22"/>
            <w:szCs w:val="24"/>
          </w:rPr>
          <w:t>https://magel.gov.gn</w:t>
        </w:r>
      </w:hyperlink>
      <w:r w:rsidRPr="00B05962">
        <w:rPr>
          <w:rFonts w:ascii="Century Gothic" w:hAnsi="Century Gothic"/>
          <w:b/>
          <w:szCs w:val="24"/>
        </w:rPr>
        <w:t>.</w:t>
      </w:r>
    </w:p>
    <w:p w14:paraId="2A48E669" w14:textId="0B341D33" w:rsidR="00670103" w:rsidRPr="00F604FB" w:rsidRDefault="00670103" w:rsidP="00670103">
      <w:pPr>
        <w:pStyle w:val="Paragraphedeliste"/>
        <w:rPr>
          <w:rFonts w:ascii="Century Gothic" w:hAnsi="Century Gothic"/>
          <w:b/>
          <w:sz w:val="14"/>
          <w:szCs w:val="24"/>
        </w:rPr>
      </w:pPr>
    </w:p>
    <w:p w14:paraId="3D5F0951" w14:textId="30AA2691" w:rsidR="00670103" w:rsidRPr="00670103" w:rsidRDefault="00670103" w:rsidP="00B05962">
      <w:pPr>
        <w:pStyle w:val="Paragraphedeliste"/>
        <w:numPr>
          <w:ilvl w:val="0"/>
          <w:numId w:val="4"/>
        </w:numPr>
        <w:rPr>
          <w:rFonts w:ascii="Century Gothic" w:hAnsi="Century Gothic"/>
          <w:sz w:val="22"/>
        </w:rPr>
      </w:pPr>
      <w:r w:rsidRPr="00670103">
        <w:rPr>
          <w:rFonts w:ascii="Century Gothic" w:hAnsi="Century Gothic"/>
          <w:sz w:val="22"/>
        </w:rPr>
        <w:t>Le dépôt physique est fait à l’adresse indiquée ci-dessous.</w:t>
      </w:r>
    </w:p>
    <w:p w14:paraId="563E72BB" w14:textId="77777777" w:rsidR="0017072E" w:rsidRPr="00F604FB" w:rsidRDefault="0017072E" w:rsidP="0017072E">
      <w:pPr>
        <w:pStyle w:val="Paragraphedeliste"/>
        <w:keepLines/>
        <w:shd w:val="clear" w:color="auto" w:fill="FFFFFF"/>
        <w:spacing w:before="142" w:line="240" w:lineRule="auto"/>
        <w:ind w:left="2" w:firstLine="0"/>
        <w:rPr>
          <w:rFonts w:ascii="Century Gothic" w:hAnsi="Century Gothic"/>
          <w:b/>
          <w:sz w:val="8"/>
        </w:rPr>
      </w:pPr>
    </w:p>
    <w:p w14:paraId="34C45CA8" w14:textId="17163F90" w:rsidR="0017072E" w:rsidRDefault="0017072E" w:rsidP="0017072E">
      <w:pPr>
        <w:pStyle w:val="Paragraphedeliste"/>
        <w:shd w:val="clear" w:color="auto" w:fill="FFFFFF"/>
        <w:spacing w:line="240" w:lineRule="auto"/>
        <w:ind w:left="362" w:firstLine="0"/>
        <w:textAlignment w:val="baseline"/>
        <w:rPr>
          <w:rFonts w:ascii="Century Gothic" w:hAnsi="Century Gothic"/>
          <w:sz w:val="22"/>
        </w:rPr>
      </w:pPr>
      <w:r w:rsidRPr="002663C1">
        <w:rPr>
          <w:rFonts w:ascii="Century Gothic" w:hAnsi="Century Gothic"/>
          <w:sz w:val="22"/>
        </w:rPr>
        <w:t xml:space="preserve">En plus des dépôts en ligne qui sont obligatoires, </w:t>
      </w:r>
      <w:r w:rsidRPr="002663C1">
        <w:rPr>
          <w:rFonts w:ascii="Century Gothic" w:hAnsi="Century Gothic" w:cs="Arial"/>
          <w:sz w:val="22"/>
          <w:bdr w:val="none" w:sz="0" w:space="0" w:color="auto" w:frame="1"/>
        </w:rPr>
        <w:t xml:space="preserve">les candidats peuvent également déposer la version physique des offres rédigée en langue française en quatre (04) exemplaires dont un (01) original et trois (03) copies au Secrétariat </w:t>
      </w:r>
      <w:r w:rsidR="00C669CF">
        <w:rPr>
          <w:rFonts w:ascii="Century Gothic" w:hAnsi="Century Gothic" w:cs="Arial"/>
          <w:sz w:val="22"/>
          <w:bdr w:val="none" w:sz="0" w:space="0" w:color="auto" w:frame="1"/>
        </w:rPr>
        <w:t xml:space="preserve">de la Cellule de Passation des Marchés Publics </w:t>
      </w:r>
      <w:r w:rsidRPr="0096017C">
        <w:rPr>
          <w:rFonts w:ascii="Century Gothic" w:hAnsi="Century Gothic" w:cs="Arial"/>
          <w:sz w:val="22"/>
          <w:bdr w:val="none" w:sz="0" w:space="0" w:color="auto" w:frame="1"/>
        </w:rPr>
        <w:t xml:space="preserve">du ministère de l’Agriculture et </w:t>
      </w:r>
      <w:r w:rsidR="00C669CF">
        <w:rPr>
          <w:rFonts w:ascii="Century Gothic" w:hAnsi="Century Gothic"/>
          <w:sz w:val="22"/>
        </w:rPr>
        <w:t>de l’Élevage ou à l'adresse.</w:t>
      </w:r>
    </w:p>
    <w:p w14:paraId="6C236202" w14:textId="77777777" w:rsidR="0017072E" w:rsidRPr="00284D4E" w:rsidRDefault="0017072E" w:rsidP="0017072E">
      <w:pPr>
        <w:shd w:val="clear" w:color="auto" w:fill="FFFFFF"/>
        <w:textAlignment w:val="baseline"/>
        <w:rPr>
          <w:rFonts w:ascii="Century Gothic" w:hAnsi="Century Gothic" w:cs="Arial"/>
          <w:sz w:val="22"/>
          <w:bdr w:val="none" w:sz="0" w:space="0" w:color="auto" w:frame="1"/>
        </w:rPr>
      </w:pPr>
      <w:r>
        <w:rPr>
          <w:rFonts w:ascii="Century Gothic" w:hAnsi="Century Gothic" w:cs="Arial"/>
          <w:sz w:val="22"/>
          <w:bdr w:val="none" w:sz="0" w:space="0" w:color="auto" w:frame="1"/>
        </w:rPr>
        <w:t>Le dépôt physique est fait à l’adresse indiquée ci-dessus.</w:t>
      </w:r>
    </w:p>
    <w:p w14:paraId="2473E3C9" w14:textId="0A590FDE" w:rsidR="0017072E" w:rsidRPr="002663C1" w:rsidRDefault="0017072E" w:rsidP="0017072E">
      <w:pPr>
        <w:spacing w:line="240" w:lineRule="auto"/>
        <w:ind w:left="-3" w:right="15"/>
        <w:rPr>
          <w:rFonts w:ascii="Century Gothic" w:hAnsi="Century Gothic"/>
          <w:sz w:val="22"/>
        </w:rPr>
      </w:pPr>
      <w:r w:rsidRPr="00691850">
        <w:rPr>
          <w:rFonts w:ascii="Century Gothic" w:hAnsi="Century Gothic"/>
          <w:b/>
          <w:sz w:val="22"/>
        </w:rPr>
        <w:t>1</w:t>
      </w:r>
      <w:r w:rsidR="00670103">
        <w:rPr>
          <w:rFonts w:ascii="Century Gothic" w:hAnsi="Century Gothic"/>
          <w:b/>
          <w:sz w:val="22"/>
        </w:rPr>
        <w:t>3</w:t>
      </w:r>
      <w:r w:rsidRPr="00691850">
        <w:rPr>
          <w:rFonts w:ascii="Century Gothic" w:hAnsi="Century Gothic"/>
          <w:b/>
          <w:sz w:val="22"/>
        </w:rPr>
        <w:t>-</w:t>
      </w:r>
      <w:r w:rsidRPr="002663C1">
        <w:rPr>
          <w:rFonts w:ascii="Century Gothic" w:hAnsi="Century Gothic"/>
          <w:sz w:val="22"/>
        </w:rPr>
        <w:t xml:space="preserve"> Les offres qui ne parviendront pas aux heures et date ci-dessus indiquées, seront purement et simplement rejetées et retournées sans être ouvertes, aux frais des Soumissionnaires concernés.  </w:t>
      </w:r>
    </w:p>
    <w:p w14:paraId="0CF64FA5" w14:textId="44C660B8" w:rsidR="0017072E" w:rsidRPr="002663C1" w:rsidRDefault="0017072E" w:rsidP="0017072E">
      <w:pPr>
        <w:spacing w:line="240" w:lineRule="auto"/>
        <w:ind w:left="-3" w:right="88"/>
        <w:rPr>
          <w:rFonts w:ascii="Century Gothic" w:hAnsi="Century Gothic"/>
          <w:sz w:val="22"/>
        </w:rPr>
      </w:pPr>
      <w:r w:rsidRPr="002663C1">
        <w:rPr>
          <w:rFonts w:ascii="Century Gothic" w:hAnsi="Century Gothic"/>
          <w:sz w:val="22"/>
        </w:rPr>
        <w:t xml:space="preserve">Les offres seront ouvertes en présence des représentants des soumissionnaires qui désirent participer à l’ouverture des plis.  </w:t>
      </w:r>
      <w:r w:rsidRPr="00C669CF">
        <w:rPr>
          <w:rFonts w:ascii="Century Gothic" w:hAnsi="Century Gothic"/>
          <w:sz w:val="22"/>
        </w:rPr>
        <w:t>Les offres seront couvertes d’une caution de soumission émanant d’une Institution bancaire agréé à cet effet qui</w:t>
      </w:r>
      <w:r w:rsidRPr="002663C1">
        <w:rPr>
          <w:rFonts w:ascii="Century Gothic" w:hAnsi="Century Gothic"/>
          <w:sz w:val="22"/>
        </w:rPr>
        <w:t xml:space="preserve"> devra demeurer valide pendant une période </w:t>
      </w:r>
      <w:r w:rsidR="00892F43">
        <w:rPr>
          <w:rFonts w:ascii="Century Gothic" w:hAnsi="Century Gothic"/>
          <w:sz w:val="22"/>
        </w:rPr>
        <w:t>de quatre-vingt-dix (9</w:t>
      </w:r>
      <w:r w:rsidRPr="004B587F">
        <w:rPr>
          <w:rFonts w:ascii="Century Gothic" w:hAnsi="Century Gothic"/>
          <w:sz w:val="22"/>
        </w:rPr>
        <w:t>0) jours à compter de la date limite de soumission</w:t>
      </w:r>
      <w:r w:rsidRPr="002663C1">
        <w:rPr>
          <w:rFonts w:ascii="Century Gothic" w:hAnsi="Century Gothic"/>
          <w:sz w:val="22"/>
        </w:rPr>
        <w:t xml:space="preserve">. </w:t>
      </w:r>
    </w:p>
    <w:p w14:paraId="605A1434" w14:textId="4B29B740" w:rsidR="0017072E" w:rsidRPr="002663C1" w:rsidRDefault="0017072E" w:rsidP="0017072E">
      <w:pPr>
        <w:spacing w:after="609" w:line="240" w:lineRule="auto"/>
        <w:ind w:left="-3" w:right="15"/>
        <w:rPr>
          <w:rFonts w:ascii="Century Gothic" w:hAnsi="Century Gothic"/>
          <w:sz w:val="22"/>
        </w:rPr>
      </w:pPr>
      <w:r w:rsidRPr="002663C1">
        <w:rPr>
          <w:rFonts w:ascii="Century Gothic" w:hAnsi="Century Gothic"/>
          <w:sz w:val="22"/>
        </w:rPr>
        <w:t xml:space="preserve">Le montant de la caution de soumission défini pour le lot unique est de </w:t>
      </w:r>
      <w:r w:rsidR="00814F71" w:rsidRPr="00814F71">
        <w:rPr>
          <w:rFonts w:ascii="Century Gothic" w:hAnsi="Century Gothic"/>
          <w:b/>
          <w:sz w:val="22"/>
        </w:rPr>
        <w:t>cent soixante-dix</w:t>
      </w:r>
      <w:r w:rsidRPr="00814F71">
        <w:rPr>
          <w:rFonts w:ascii="Century Gothic" w:hAnsi="Century Gothic"/>
          <w:b/>
          <w:sz w:val="22"/>
        </w:rPr>
        <w:t xml:space="preserve"> </w:t>
      </w:r>
      <w:r w:rsidR="005C2926" w:rsidRPr="00814F71">
        <w:rPr>
          <w:rFonts w:ascii="Century Gothic" w:hAnsi="Century Gothic"/>
          <w:b/>
          <w:sz w:val="22"/>
        </w:rPr>
        <w:t>millions</w:t>
      </w:r>
      <w:r w:rsidR="005C2926">
        <w:rPr>
          <w:rFonts w:ascii="Century Gothic" w:hAnsi="Century Gothic"/>
          <w:sz w:val="22"/>
        </w:rPr>
        <w:t xml:space="preserve"> (</w:t>
      </w:r>
      <w:r w:rsidR="00814F71">
        <w:rPr>
          <w:rFonts w:ascii="Century Gothic" w:hAnsi="Century Gothic"/>
          <w:b/>
          <w:bCs/>
          <w:color w:val="auto"/>
          <w:sz w:val="22"/>
        </w:rPr>
        <w:t>170 000 000</w:t>
      </w:r>
      <w:r w:rsidRPr="006315CF">
        <w:rPr>
          <w:rFonts w:ascii="Century Gothic" w:hAnsi="Century Gothic"/>
          <w:b/>
          <w:bCs/>
          <w:color w:val="auto"/>
          <w:sz w:val="22"/>
        </w:rPr>
        <w:t xml:space="preserve"> GNF)</w:t>
      </w:r>
      <w:r w:rsidRPr="006315CF">
        <w:rPr>
          <w:rFonts w:ascii="Century Gothic" w:hAnsi="Century Gothic"/>
          <w:color w:val="auto"/>
          <w:sz w:val="22"/>
        </w:rPr>
        <w:t xml:space="preserve"> </w:t>
      </w:r>
      <w:r w:rsidRPr="006315CF">
        <w:rPr>
          <w:rFonts w:ascii="Century Gothic" w:hAnsi="Century Gothic"/>
          <w:sz w:val="22"/>
        </w:rPr>
        <w:t>de l’offre de</w:t>
      </w:r>
      <w:r w:rsidRPr="002663C1">
        <w:rPr>
          <w:rFonts w:ascii="Century Gothic" w:hAnsi="Century Gothic"/>
          <w:sz w:val="22"/>
        </w:rPr>
        <w:t xml:space="preserve"> soumission. </w:t>
      </w:r>
    </w:p>
    <w:p w14:paraId="7AC5EF9F" w14:textId="77777777" w:rsidR="0017072E" w:rsidRPr="002663C1" w:rsidRDefault="0017072E" w:rsidP="0017072E">
      <w:pPr>
        <w:spacing w:after="187" w:line="240" w:lineRule="auto"/>
        <w:ind w:right="281" w:firstLine="0"/>
        <w:rPr>
          <w:rFonts w:ascii="Century Gothic" w:hAnsi="Century Gothic"/>
          <w:sz w:val="22"/>
        </w:rPr>
      </w:pPr>
      <w:r>
        <w:rPr>
          <w:rFonts w:ascii="Century Gothic" w:hAnsi="Century Gothic"/>
          <w:sz w:val="22"/>
        </w:rPr>
        <w:t xml:space="preserve">                                                                                                          </w:t>
      </w:r>
      <w:r w:rsidRPr="002663C1">
        <w:rPr>
          <w:rFonts w:ascii="Century Gothic" w:hAnsi="Century Gothic"/>
          <w:sz w:val="22"/>
        </w:rPr>
        <w:t>Conakry, le ……………… 202</w:t>
      </w:r>
      <w:r>
        <w:rPr>
          <w:rFonts w:ascii="Century Gothic" w:hAnsi="Century Gothic"/>
          <w:sz w:val="22"/>
        </w:rPr>
        <w:t>3</w:t>
      </w:r>
    </w:p>
    <w:p w14:paraId="168693B6" w14:textId="77777777" w:rsidR="0017072E" w:rsidRDefault="0017072E" w:rsidP="0017072E">
      <w:pPr>
        <w:spacing w:after="187" w:line="240" w:lineRule="auto"/>
        <w:ind w:right="281" w:firstLine="0"/>
        <w:jc w:val="right"/>
        <w:rPr>
          <w:rFonts w:ascii="Century Gothic" w:hAnsi="Century Gothic"/>
          <w:sz w:val="22"/>
        </w:rPr>
      </w:pPr>
      <w:r w:rsidRPr="002663C1">
        <w:rPr>
          <w:rFonts w:ascii="Century Gothic" w:hAnsi="Century Gothic"/>
          <w:sz w:val="22"/>
        </w:rPr>
        <w:t>Le Ministre de l’Agriculture et de l’Elevage</w:t>
      </w:r>
    </w:p>
    <w:p w14:paraId="12F069ED" w14:textId="0338FB66" w:rsidR="0017072E" w:rsidRDefault="0017072E" w:rsidP="0017072E">
      <w:pPr>
        <w:spacing w:after="187" w:line="240" w:lineRule="auto"/>
        <w:ind w:right="281" w:firstLine="0"/>
        <w:rPr>
          <w:rFonts w:ascii="Century Gothic" w:hAnsi="Century Gothic"/>
          <w:sz w:val="22"/>
        </w:rPr>
      </w:pPr>
    </w:p>
    <w:p w14:paraId="3C111A26" w14:textId="7724F015" w:rsidR="0017072E" w:rsidRDefault="0017072E" w:rsidP="0017072E">
      <w:pPr>
        <w:spacing w:after="187" w:line="240" w:lineRule="auto"/>
        <w:ind w:right="281" w:firstLine="0"/>
        <w:rPr>
          <w:rFonts w:ascii="Century Gothic" w:hAnsi="Century Gothic"/>
          <w:sz w:val="22"/>
        </w:rPr>
      </w:pPr>
    </w:p>
    <w:p w14:paraId="448A5F8E" w14:textId="10A1292A" w:rsidR="0017072E" w:rsidRDefault="0017072E" w:rsidP="0017072E">
      <w:pPr>
        <w:spacing w:after="187" w:line="240" w:lineRule="auto"/>
        <w:ind w:right="281" w:firstLine="0"/>
        <w:rPr>
          <w:rFonts w:ascii="Century Gothic" w:hAnsi="Century Gothic"/>
          <w:sz w:val="22"/>
        </w:rPr>
      </w:pPr>
    </w:p>
    <w:p w14:paraId="4B55D591" w14:textId="6523E0B3" w:rsidR="0017072E" w:rsidRPr="00C669CF" w:rsidRDefault="00892F43" w:rsidP="00892F43">
      <w:pPr>
        <w:spacing w:after="187" w:line="240" w:lineRule="auto"/>
        <w:ind w:right="281" w:firstLine="0"/>
        <w:jc w:val="center"/>
        <w:rPr>
          <w:rFonts w:ascii="Century Gothic" w:hAnsi="Century Gothic"/>
          <w:b/>
          <w:bCs/>
          <w:u w:val="single"/>
        </w:rPr>
        <w:sectPr w:rsidR="0017072E" w:rsidRPr="00C669CF" w:rsidSect="00C67890">
          <w:headerReference w:type="even" r:id="rId11"/>
          <w:headerReference w:type="default" r:id="rId12"/>
          <w:footerReference w:type="default" r:id="rId13"/>
          <w:headerReference w:type="first" r:id="rId14"/>
          <w:footerReference w:type="first" r:id="rId15"/>
          <w:pgSz w:w="11921" w:h="16841"/>
          <w:pgMar w:top="1135" w:right="722" w:bottom="615" w:left="1282" w:header="900" w:footer="552" w:gutter="0"/>
          <w:cols w:space="720"/>
          <w:titlePg/>
        </w:sectPr>
      </w:pPr>
      <w:r>
        <w:rPr>
          <w:rFonts w:ascii="Century Gothic" w:hAnsi="Century Gothic"/>
          <w:b/>
          <w:bCs/>
        </w:rPr>
        <w:t xml:space="preserve">                                                                    </w:t>
      </w:r>
      <w:proofErr w:type="spellStart"/>
      <w:r w:rsidR="0017072E" w:rsidRPr="00C669CF">
        <w:rPr>
          <w:rFonts w:ascii="Century Gothic" w:hAnsi="Century Gothic"/>
          <w:b/>
          <w:bCs/>
          <w:u w:val="single"/>
        </w:rPr>
        <w:t>Mamoudou</w:t>
      </w:r>
      <w:proofErr w:type="spellEnd"/>
      <w:r w:rsidR="0017072E" w:rsidRPr="00C669CF">
        <w:rPr>
          <w:rFonts w:ascii="Century Gothic" w:hAnsi="Century Gothic"/>
          <w:b/>
          <w:bCs/>
          <w:u w:val="single"/>
        </w:rPr>
        <w:t xml:space="preserve"> </w:t>
      </w:r>
      <w:proofErr w:type="spellStart"/>
      <w:r w:rsidR="0017072E" w:rsidRPr="00C669CF">
        <w:rPr>
          <w:rFonts w:ascii="Century Gothic" w:hAnsi="Century Gothic"/>
          <w:b/>
          <w:bCs/>
          <w:u w:val="single"/>
        </w:rPr>
        <w:t>Nagnalen</w:t>
      </w:r>
      <w:proofErr w:type="spellEnd"/>
      <w:r w:rsidR="0017072E" w:rsidRPr="00C669CF">
        <w:rPr>
          <w:rFonts w:ascii="Century Gothic" w:hAnsi="Century Gothic"/>
          <w:b/>
          <w:bCs/>
          <w:u w:val="single"/>
        </w:rPr>
        <w:t xml:space="preserve"> BA</w:t>
      </w:r>
      <w:r w:rsidR="000B1C7C">
        <w:rPr>
          <w:rFonts w:ascii="Century Gothic" w:hAnsi="Century Gothic"/>
          <w:b/>
          <w:bCs/>
          <w:u w:val="single"/>
        </w:rPr>
        <w:t>RR</w:t>
      </w:r>
      <w:r w:rsidR="005C2926">
        <w:rPr>
          <w:rFonts w:ascii="Century Gothic" w:hAnsi="Century Gothic"/>
          <w:b/>
          <w:bCs/>
          <w:u w:val="single"/>
        </w:rPr>
        <w:t>Y</w:t>
      </w:r>
    </w:p>
    <w:p w14:paraId="220B0A11" w14:textId="77777777" w:rsidR="0017072E" w:rsidRPr="0017072E" w:rsidRDefault="0017072E" w:rsidP="005C2926">
      <w:pPr>
        <w:ind w:firstLine="0"/>
      </w:pPr>
    </w:p>
    <w:sectPr w:rsidR="0017072E" w:rsidRPr="001707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F39FD" w14:textId="77777777" w:rsidR="00E76A3C" w:rsidRDefault="00E76A3C" w:rsidP="0017072E">
      <w:pPr>
        <w:spacing w:after="0" w:line="240" w:lineRule="auto"/>
      </w:pPr>
      <w:r>
        <w:separator/>
      </w:r>
    </w:p>
  </w:endnote>
  <w:endnote w:type="continuationSeparator" w:id="0">
    <w:p w14:paraId="61B7D961" w14:textId="77777777" w:rsidR="00E76A3C" w:rsidRDefault="00E76A3C" w:rsidP="0017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498D" w14:textId="77777777" w:rsidR="00FA23D6" w:rsidRDefault="00E76A3C">
    <w:pPr>
      <w:spacing w:after="0" w:line="259" w:lineRule="auto"/>
      <w:ind w:left="-1" w:right="71" w:firstLine="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8707" w14:textId="621ED7A5" w:rsidR="00FA23D6" w:rsidRPr="0017072E" w:rsidRDefault="00E76A3C" w:rsidP="0017072E">
    <w:pPr>
      <w:pStyle w:val="Pieddepage"/>
      <w:jc w:val="center"/>
      <w:rPr>
        <w:rFonts w:ascii="Century Gothic" w:hAnsi="Century Gothic"/>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00567" w14:textId="77777777" w:rsidR="00E76A3C" w:rsidRDefault="00E76A3C" w:rsidP="0017072E">
      <w:pPr>
        <w:spacing w:after="0" w:line="240" w:lineRule="auto"/>
      </w:pPr>
      <w:r>
        <w:separator/>
      </w:r>
    </w:p>
  </w:footnote>
  <w:footnote w:type="continuationSeparator" w:id="0">
    <w:p w14:paraId="756FB7CB" w14:textId="77777777" w:rsidR="00E76A3C" w:rsidRDefault="00E76A3C" w:rsidP="0017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08B3" w14:textId="0208453C" w:rsidR="00FA23D6" w:rsidRDefault="00D46304">
    <w:pPr>
      <w:spacing w:after="0" w:line="259" w:lineRule="auto"/>
      <w:ind w:right="87" w:firstLine="0"/>
      <w:jc w:val="right"/>
    </w:pPr>
    <w:r>
      <w:rPr>
        <w:sz w:val="20"/>
      </w:rPr>
      <w:t xml:space="preserve">Page </w:t>
    </w:r>
    <w:r>
      <w:fldChar w:fldCharType="begin"/>
    </w:r>
    <w:r>
      <w:instrText xml:space="preserve"> PAGE   \* MERGEFORMAT </w:instrText>
    </w:r>
    <w:r>
      <w:fldChar w:fldCharType="separate"/>
    </w:r>
    <w:r w:rsidRPr="00E75E27">
      <w:rPr>
        <w:b/>
        <w:noProof/>
        <w:sz w:val="20"/>
      </w:rPr>
      <w:t>4</w:t>
    </w:r>
    <w:r>
      <w:rPr>
        <w:b/>
        <w:sz w:val="20"/>
      </w:rPr>
      <w:fldChar w:fldCharType="end"/>
    </w:r>
    <w:r>
      <w:rPr>
        <w:sz w:val="20"/>
      </w:rPr>
      <w:t xml:space="preserve"> sur </w:t>
    </w:r>
    <w:r w:rsidR="00E76A3C">
      <w:fldChar w:fldCharType="begin"/>
    </w:r>
    <w:r w:rsidR="00E76A3C">
      <w:instrText xml:space="preserve"> NUMPAGES   \* MERGEFORMAT </w:instrText>
    </w:r>
    <w:r w:rsidR="00E76A3C">
      <w:fldChar w:fldCharType="separate"/>
    </w:r>
    <w:r w:rsidR="00713E89" w:rsidRPr="00713E89">
      <w:rPr>
        <w:b/>
        <w:noProof/>
        <w:sz w:val="20"/>
      </w:rPr>
      <w:t>4</w:t>
    </w:r>
    <w:r w:rsidR="00E76A3C">
      <w:rPr>
        <w:b/>
        <w:noProof/>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A986" w14:textId="3B3C2A3B" w:rsidR="00FA23D6" w:rsidRDefault="00D46304">
    <w:pPr>
      <w:spacing w:after="0" w:line="259" w:lineRule="auto"/>
      <w:ind w:right="87" w:firstLine="0"/>
      <w:jc w:val="right"/>
    </w:pPr>
    <w:r>
      <w:rPr>
        <w:sz w:val="20"/>
      </w:rPr>
      <w:t xml:space="preserve">Page </w:t>
    </w:r>
    <w:r>
      <w:fldChar w:fldCharType="begin"/>
    </w:r>
    <w:r>
      <w:instrText xml:space="preserve"> PAGE   \* MERGEFORMAT </w:instrText>
    </w:r>
    <w:r>
      <w:fldChar w:fldCharType="separate"/>
    </w:r>
    <w:r w:rsidR="00713E89" w:rsidRPr="00713E89">
      <w:rPr>
        <w:b/>
        <w:noProof/>
        <w:sz w:val="20"/>
      </w:rPr>
      <w:t>3</w:t>
    </w:r>
    <w:r>
      <w:rPr>
        <w:b/>
        <w:sz w:val="20"/>
      </w:rPr>
      <w:fldChar w:fldCharType="end"/>
    </w:r>
    <w:r>
      <w:rPr>
        <w:sz w:val="20"/>
      </w:rPr>
      <w:t xml:space="preserve"> sur </w:t>
    </w:r>
    <w:r w:rsidR="00E76A3C">
      <w:fldChar w:fldCharType="begin"/>
    </w:r>
    <w:r w:rsidR="00E76A3C">
      <w:instrText xml:space="preserve"> NUMPAGES   \* MERGEFORMAT </w:instrText>
    </w:r>
    <w:r w:rsidR="00E76A3C">
      <w:fldChar w:fldCharType="separate"/>
    </w:r>
    <w:r w:rsidR="00713E89" w:rsidRPr="00713E89">
      <w:rPr>
        <w:b/>
        <w:noProof/>
        <w:sz w:val="20"/>
      </w:rPr>
      <w:t>4</w:t>
    </w:r>
    <w:r w:rsidR="00E76A3C">
      <w:rPr>
        <w:b/>
        <w:noProof/>
        <w:sz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68A1" w14:textId="06825CED" w:rsidR="00FA23D6" w:rsidRDefault="00D46304">
    <w:pPr>
      <w:spacing w:after="0" w:line="259" w:lineRule="auto"/>
      <w:ind w:right="87" w:firstLine="0"/>
      <w:jc w:val="right"/>
    </w:pPr>
    <w:r>
      <w:rPr>
        <w:sz w:val="20"/>
      </w:rPr>
      <w:t xml:space="preserve">Page </w:t>
    </w:r>
    <w:r>
      <w:fldChar w:fldCharType="begin"/>
    </w:r>
    <w:r>
      <w:instrText xml:space="preserve"> PAGE   \* MERGEFORMAT </w:instrText>
    </w:r>
    <w:r>
      <w:fldChar w:fldCharType="separate"/>
    </w:r>
    <w:r w:rsidR="00713E89" w:rsidRPr="00713E89">
      <w:rPr>
        <w:b/>
        <w:noProof/>
        <w:sz w:val="20"/>
      </w:rPr>
      <w:t>1</w:t>
    </w:r>
    <w:r>
      <w:rPr>
        <w:b/>
        <w:sz w:val="20"/>
      </w:rPr>
      <w:fldChar w:fldCharType="end"/>
    </w:r>
    <w:r>
      <w:rPr>
        <w:sz w:val="20"/>
      </w:rPr>
      <w:t xml:space="preserve"> sur </w:t>
    </w:r>
    <w:r w:rsidR="00E76A3C">
      <w:fldChar w:fldCharType="begin"/>
    </w:r>
    <w:r w:rsidR="00E76A3C">
      <w:instrText xml:space="preserve"> NUMPAGES   \* MERGEFORMAT </w:instrText>
    </w:r>
    <w:r w:rsidR="00E76A3C">
      <w:fldChar w:fldCharType="separate"/>
    </w:r>
    <w:r w:rsidR="00713E89" w:rsidRPr="00713E89">
      <w:rPr>
        <w:b/>
        <w:noProof/>
        <w:sz w:val="20"/>
      </w:rPr>
      <w:t>4</w:t>
    </w:r>
    <w:r w:rsidR="00E76A3C">
      <w:rPr>
        <w:b/>
        <w:noProof/>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1020"/>
    <w:multiLevelType w:val="hybridMultilevel"/>
    <w:tmpl w:val="40F66FE6"/>
    <w:lvl w:ilvl="0" w:tplc="2780D032">
      <w:start w:val="10"/>
      <w:numFmt w:val="decimal"/>
      <w:lvlText w:val="%1-"/>
      <w:lvlJc w:val="left"/>
      <w:pPr>
        <w:ind w:left="362" w:hanging="360"/>
      </w:pPr>
      <w:rPr>
        <w:rFonts w:hint="default"/>
        <w:b/>
      </w:rPr>
    </w:lvl>
    <w:lvl w:ilvl="1" w:tplc="040C0019" w:tentative="1">
      <w:start w:val="1"/>
      <w:numFmt w:val="lowerLetter"/>
      <w:lvlText w:val="%2."/>
      <w:lvlJc w:val="left"/>
      <w:pPr>
        <w:ind w:left="1082" w:hanging="360"/>
      </w:pPr>
    </w:lvl>
    <w:lvl w:ilvl="2" w:tplc="040C001B" w:tentative="1">
      <w:start w:val="1"/>
      <w:numFmt w:val="lowerRoman"/>
      <w:lvlText w:val="%3."/>
      <w:lvlJc w:val="right"/>
      <w:pPr>
        <w:ind w:left="1802" w:hanging="180"/>
      </w:pPr>
    </w:lvl>
    <w:lvl w:ilvl="3" w:tplc="040C000F" w:tentative="1">
      <w:start w:val="1"/>
      <w:numFmt w:val="decimal"/>
      <w:lvlText w:val="%4."/>
      <w:lvlJc w:val="left"/>
      <w:pPr>
        <w:ind w:left="2522" w:hanging="360"/>
      </w:pPr>
    </w:lvl>
    <w:lvl w:ilvl="4" w:tplc="040C0019" w:tentative="1">
      <w:start w:val="1"/>
      <w:numFmt w:val="lowerLetter"/>
      <w:lvlText w:val="%5."/>
      <w:lvlJc w:val="left"/>
      <w:pPr>
        <w:ind w:left="3242" w:hanging="360"/>
      </w:pPr>
    </w:lvl>
    <w:lvl w:ilvl="5" w:tplc="040C001B" w:tentative="1">
      <w:start w:val="1"/>
      <w:numFmt w:val="lowerRoman"/>
      <w:lvlText w:val="%6."/>
      <w:lvlJc w:val="right"/>
      <w:pPr>
        <w:ind w:left="3962" w:hanging="180"/>
      </w:pPr>
    </w:lvl>
    <w:lvl w:ilvl="6" w:tplc="040C000F" w:tentative="1">
      <w:start w:val="1"/>
      <w:numFmt w:val="decimal"/>
      <w:lvlText w:val="%7."/>
      <w:lvlJc w:val="left"/>
      <w:pPr>
        <w:ind w:left="4682" w:hanging="360"/>
      </w:pPr>
    </w:lvl>
    <w:lvl w:ilvl="7" w:tplc="040C0019" w:tentative="1">
      <w:start w:val="1"/>
      <w:numFmt w:val="lowerLetter"/>
      <w:lvlText w:val="%8."/>
      <w:lvlJc w:val="left"/>
      <w:pPr>
        <w:ind w:left="5402" w:hanging="360"/>
      </w:pPr>
    </w:lvl>
    <w:lvl w:ilvl="8" w:tplc="040C001B" w:tentative="1">
      <w:start w:val="1"/>
      <w:numFmt w:val="lowerRoman"/>
      <w:lvlText w:val="%9."/>
      <w:lvlJc w:val="right"/>
      <w:pPr>
        <w:ind w:left="6122" w:hanging="180"/>
      </w:pPr>
    </w:lvl>
  </w:abstractNum>
  <w:abstractNum w:abstractNumId="1" w15:restartNumberingAfterBreak="0">
    <w:nsid w:val="175C4BCE"/>
    <w:multiLevelType w:val="hybridMultilevel"/>
    <w:tmpl w:val="E05CD052"/>
    <w:lvl w:ilvl="0" w:tplc="738C242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E0D54">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60672">
      <w:start w:val="1"/>
      <w:numFmt w:val="bullet"/>
      <w:lvlText w:val="▪"/>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A35A2">
      <w:start w:val="1"/>
      <w:numFmt w:val="bullet"/>
      <w:lvlText w:val="•"/>
      <w:lvlJc w:val="left"/>
      <w:pPr>
        <w:ind w:left="2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E1A80">
      <w:start w:val="1"/>
      <w:numFmt w:val="bullet"/>
      <w:lvlText w:val="o"/>
      <w:lvlJc w:val="left"/>
      <w:pPr>
        <w:ind w:left="2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0EF50">
      <w:start w:val="1"/>
      <w:numFmt w:val="bullet"/>
      <w:lvlText w:val="▪"/>
      <w:lvlJc w:val="left"/>
      <w:pPr>
        <w:ind w:left="3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C20B0">
      <w:start w:val="1"/>
      <w:numFmt w:val="bullet"/>
      <w:lvlText w:val="•"/>
      <w:lvlJc w:val="left"/>
      <w:pPr>
        <w:ind w:left="4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2CF70">
      <w:start w:val="1"/>
      <w:numFmt w:val="bullet"/>
      <w:lvlText w:val="o"/>
      <w:lvlJc w:val="left"/>
      <w:pPr>
        <w:ind w:left="5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ED818">
      <w:start w:val="1"/>
      <w:numFmt w:val="bullet"/>
      <w:lvlText w:val="▪"/>
      <w:lvlJc w:val="left"/>
      <w:pPr>
        <w:ind w:left="5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BD4A5F"/>
    <w:multiLevelType w:val="hybridMultilevel"/>
    <w:tmpl w:val="8946EA00"/>
    <w:lvl w:ilvl="0" w:tplc="8FC607A2">
      <w:start w:val="1"/>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1A081CC">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E65A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07B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A1FE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246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E1E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65FF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E83C96"/>
    <w:multiLevelType w:val="hybridMultilevel"/>
    <w:tmpl w:val="0C3808C2"/>
    <w:lvl w:ilvl="0" w:tplc="7FE03E8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96B05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C67FB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607F7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2EF61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CE056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F8C15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B61EA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A6384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2E"/>
    <w:rsid w:val="000B1C7C"/>
    <w:rsid w:val="0017072E"/>
    <w:rsid w:val="00232BF1"/>
    <w:rsid w:val="005C2926"/>
    <w:rsid w:val="005D6330"/>
    <w:rsid w:val="00670103"/>
    <w:rsid w:val="006965CA"/>
    <w:rsid w:val="00713E89"/>
    <w:rsid w:val="00790A29"/>
    <w:rsid w:val="00814F71"/>
    <w:rsid w:val="00892F43"/>
    <w:rsid w:val="00AB6D2D"/>
    <w:rsid w:val="00B05962"/>
    <w:rsid w:val="00BF6EF1"/>
    <w:rsid w:val="00C204DF"/>
    <w:rsid w:val="00C669CF"/>
    <w:rsid w:val="00D42D4B"/>
    <w:rsid w:val="00D46304"/>
    <w:rsid w:val="00E04F33"/>
    <w:rsid w:val="00E44673"/>
    <w:rsid w:val="00E76A3C"/>
    <w:rsid w:val="00F60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5A5B"/>
  <w15:chartTrackingRefBased/>
  <w15:docId w15:val="{F35906DF-9FF7-644B-A56E-1A31C79B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2E"/>
    <w:pPr>
      <w:spacing w:after="124" w:line="271" w:lineRule="auto"/>
      <w:ind w:firstLine="2"/>
      <w:jc w:val="both"/>
    </w:pPr>
    <w:rPr>
      <w:rFonts w:ascii="Times New Roman" w:eastAsia="Times New Roman" w:hAnsi="Times New Roman" w:cs="Times New Roman"/>
      <w:color w:val="000000"/>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s">
    <w:name w:val="Sections"/>
    <w:basedOn w:val="Sous-titre"/>
    <w:qFormat/>
    <w:rsid w:val="0017072E"/>
    <w:pPr>
      <w:numPr>
        <w:ilvl w:val="0"/>
      </w:numPr>
      <w:spacing w:after="0" w:line="240" w:lineRule="auto"/>
      <w:ind w:firstLine="2"/>
      <w:jc w:val="center"/>
    </w:pPr>
    <w:rPr>
      <w:rFonts w:ascii="Times New Roman" w:eastAsia="Times New Roman" w:hAnsi="Times New Roman" w:cs="Times New Roman"/>
      <w:b/>
      <w:color w:val="auto"/>
      <w:spacing w:val="0"/>
      <w:sz w:val="36"/>
      <w:szCs w:val="20"/>
    </w:rPr>
  </w:style>
  <w:style w:type="table" w:styleId="Grilledutableau">
    <w:name w:val="Table Grid"/>
    <w:basedOn w:val="TableauNormal"/>
    <w:uiPriority w:val="39"/>
    <w:rsid w:val="0017072E"/>
    <w:rPr>
      <w:rFonts w:eastAsiaTheme="minorEastAsia"/>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17072E"/>
    <w:pPr>
      <w:numPr>
        <w:ilvl w:val="1"/>
      </w:numPr>
      <w:spacing w:after="160"/>
      <w:ind w:firstLine="2"/>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17072E"/>
    <w:rPr>
      <w:rFonts w:eastAsiaTheme="minorEastAsia"/>
      <w:color w:val="5A5A5A" w:themeColor="text1" w:themeTint="A5"/>
      <w:spacing w:val="15"/>
      <w:sz w:val="22"/>
      <w:szCs w:val="22"/>
      <w:lang w:eastAsia="fr-FR"/>
    </w:rPr>
  </w:style>
  <w:style w:type="character" w:styleId="Lienhypertexte">
    <w:name w:val="Hyperlink"/>
    <w:basedOn w:val="Policepardfaut"/>
    <w:uiPriority w:val="99"/>
    <w:unhideWhenUsed/>
    <w:rsid w:val="0017072E"/>
    <w:rPr>
      <w:color w:val="0563C1" w:themeColor="hyperlink"/>
      <w:u w:val="single"/>
    </w:rPr>
  </w:style>
  <w:style w:type="paragraph" w:styleId="Paragraphedeliste">
    <w:name w:val="List Paragraph"/>
    <w:basedOn w:val="Normal"/>
    <w:uiPriority w:val="34"/>
    <w:qFormat/>
    <w:rsid w:val="0017072E"/>
    <w:pPr>
      <w:ind w:left="720"/>
      <w:contextualSpacing/>
    </w:pPr>
  </w:style>
  <w:style w:type="paragraph" w:styleId="Pieddepage">
    <w:name w:val="footer"/>
    <w:basedOn w:val="Normal"/>
    <w:link w:val="PieddepageCar"/>
    <w:uiPriority w:val="99"/>
    <w:unhideWhenUsed/>
    <w:rsid w:val="0017072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7072E"/>
    <w:rPr>
      <w:rFonts w:ascii="Times New Roman" w:eastAsia="Times New Roman" w:hAnsi="Times New Roman" w:cs="Times New Roman"/>
      <w:color w:val="000000"/>
      <w:szCs w:val="22"/>
      <w:lang w:eastAsia="fr-FR"/>
    </w:rPr>
  </w:style>
  <w:style w:type="paragraph" w:styleId="Textedebulles">
    <w:name w:val="Balloon Text"/>
    <w:basedOn w:val="Normal"/>
    <w:link w:val="TextedebullesCar"/>
    <w:uiPriority w:val="99"/>
    <w:semiHidden/>
    <w:unhideWhenUsed/>
    <w:rsid w:val="000B1C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1C7C"/>
    <w:rPr>
      <w:rFonts w:ascii="Segoe UI" w:eastAsia="Times New Roman" w:hAnsi="Segoe UI" w:cs="Segoe UI"/>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agel.gov.gn" TargetMode="External"/><Relationship Id="rId4" Type="http://schemas.openxmlformats.org/officeDocument/2006/relationships/webSettings" Target="webSettings.xml"/><Relationship Id="rId9" Type="http://schemas.openxmlformats.org/officeDocument/2006/relationships/hyperlink" Target="mailto:kstraore@magel.gov.gn"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4</Pages>
  <Words>1305</Words>
  <Characters>7179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18</cp:revision>
  <cp:lastPrinted>2023-04-25T09:43:00Z</cp:lastPrinted>
  <dcterms:created xsi:type="dcterms:W3CDTF">2023-04-17T18:06:00Z</dcterms:created>
  <dcterms:modified xsi:type="dcterms:W3CDTF">2023-04-28T19:09:00Z</dcterms:modified>
</cp:coreProperties>
</file>